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619" w:rsidRDefault="00F07619" w:rsidP="00980304">
      <w:pPr>
        <w:spacing w:after="0" w:line="240" w:lineRule="auto"/>
        <w:ind w:left="3261"/>
        <w:jc w:val="center"/>
        <w:rPr>
          <w:rFonts w:ascii="Times New Roman" w:eastAsia="Times New Roman" w:hAnsi="Times New Roman"/>
          <w:b/>
          <w:i/>
          <w:sz w:val="20"/>
          <w:szCs w:val="20"/>
          <w:lang w:val="ru-RU"/>
        </w:rPr>
      </w:pPr>
      <w:r>
        <w:rPr>
          <w:noProof/>
          <w:lang w:val="ru-RU"/>
        </w:rPr>
        <w:drawing>
          <wp:anchor distT="0" distB="0" distL="114300" distR="114300" simplePos="0" relativeHeight="251659264" behindDoc="0" locked="0" layoutInCell="1" allowOverlap="1">
            <wp:simplePos x="0" y="0"/>
            <wp:positionH relativeFrom="margin">
              <wp:posOffset>4629150</wp:posOffset>
            </wp:positionH>
            <wp:positionV relativeFrom="margin">
              <wp:posOffset>-362585</wp:posOffset>
            </wp:positionV>
            <wp:extent cx="1786255" cy="98171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786255" cy="981710"/>
                    </a:xfrm>
                    <a:prstGeom prst="rect">
                      <a:avLst/>
                    </a:prstGeom>
                    <a:noFill/>
                  </pic:spPr>
                </pic:pic>
              </a:graphicData>
            </a:graphic>
          </wp:anchor>
        </w:drawing>
      </w:r>
    </w:p>
    <w:p w:rsidR="00F07619" w:rsidRDefault="00F07619">
      <w:pPr>
        <w:spacing w:after="0" w:line="240" w:lineRule="auto"/>
        <w:jc w:val="center"/>
        <w:rPr>
          <w:rFonts w:ascii="Times New Roman" w:eastAsia="Times New Roman" w:hAnsi="Times New Roman"/>
          <w:b/>
          <w:i/>
          <w:sz w:val="20"/>
          <w:szCs w:val="20"/>
          <w:lang w:val="ru-RU"/>
        </w:rPr>
      </w:pPr>
    </w:p>
    <w:p w:rsidR="00F07619" w:rsidRDefault="00F07619">
      <w:pPr>
        <w:spacing w:after="0" w:line="240" w:lineRule="auto"/>
        <w:jc w:val="center"/>
        <w:rPr>
          <w:rFonts w:ascii="Times New Roman" w:eastAsia="Times New Roman" w:hAnsi="Times New Roman"/>
          <w:b/>
          <w:i/>
          <w:sz w:val="20"/>
          <w:szCs w:val="20"/>
          <w:lang w:val="ru-RU"/>
        </w:rPr>
      </w:pPr>
    </w:p>
    <w:p w:rsidR="00F07619" w:rsidRDefault="00F07619">
      <w:pPr>
        <w:spacing w:after="0" w:line="240" w:lineRule="auto"/>
        <w:jc w:val="center"/>
        <w:rPr>
          <w:rFonts w:ascii="Times New Roman" w:eastAsia="Times New Roman" w:hAnsi="Times New Roman"/>
          <w:b/>
          <w:i/>
          <w:sz w:val="20"/>
          <w:szCs w:val="20"/>
          <w:lang w:val="ru-RU"/>
        </w:rPr>
      </w:pPr>
    </w:p>
    <w:p w:rsidR="00F07619" w:rsidRDefault="00F07619">
      <w:pPr>
        <w:spacing w:after="0" w:line="240" w:lineRule="auto"/>
        <w:jc w:val="center"/>
        <w:rPr>
          <w:rFonts w:ascii="Times New Roman" w:eastAsia="Times New Roman" w:hAnsi="Times New Roman"/>
          <w:b/>
          <w:i/>
          <w:sz w:val="20"/>
          <w:szCs w:val="20"/>
          <w:lang w:val="ru-RU"/>
        </w:rPr>
      </w:pPr>
    </w:p>
    <w:p w:rsidR="00150045" w:rsidRPr="00894340" w:rsidRDefault="00F07619">
      <w:pPr>
        <w:spacing w:after="0" w:line="240" w:lineRule="auto"/>
        <w:jc w:val="center"/>
        <w:rPr>
          <w:rFonts w:ascii="Times New Roman" w:eastAsia="Times New Roman" w:hAnsi="Times New Roman"/>
          <w:b/>
          <w:i/>
          <w:sz w:val="28"/>
          <w:szCs w:val="20"/>
        </w:rPr>
      </w:pPr>
      <w:r w:rsidRPr="00894340">
        <w:rPr>
          <w:rFonts w:ascii="Times New Roman" w:eastAsia="Times New Roman" w:hAnsi="Times New Roman"/>
          <w:b/>
          <w:i/>
          <w:sz w:val="28"/>
          <w:szCs w:val="20"/>
          <w:lang w:val="ru-RU"/>
        </w:rPr>
        <w:t>ВИЩЕ ПРОФЕСІЙНЕ УЧИЛИЩЕ № 17</w:t>
      </w:r>
    </w:p>
    <w:p w:rsidR="00150045" w:rsidRPr="00980304" w:rsidRDefault="00F07619">
      <w:pPr>
        <w:spacing w:before="280" w:after="0" w:line="240" w:lineRule="auto"/>
        <w:jc w:val="center"/>
        <w:rPr>
          <w:rFonts w:ascii="Times New Roman" w:eastAsia="Times New Roman" w:hAnsi="Times New Roman"/>
          <w:b/>
          <w:sz w:val="24"/>
          <w:szCs w:val="20"/>
        </w:rPr>
      </w:pPr>
      <w:r w:rsidRPr="00980304">
        <w:rPr>
          <w:rFonts w:ascii="Times New Roman" w:eastAsia="Times New Roman" w:hAnsi="Times New Roman"/>
          <w:b/>
          <w:sz w:val="24"/>
          <w:szCs w:val="20"/>
        </w:rPr>
        <w:t xml:space="preserve">ОБҐРУНТУВАННЯ </w:t>
      </w:r>
    </w:p>
    <w:p w:rsidR="00150045" w:rsidRPr="00980304" w:rsidRDefault="00F07619">
      <w:pPr>
        <w:spacing w:after="280" w:line="240" w:lineRule="auto"/>
        <w:jc w:val="center"/>
        <w:rPr>
          <w:rFonts w:ascii="Times New Roman" w:eastAsia="Times New Roman" w:hAnsi="Times New Roman"/>
          <w:b/>
          <w:szCs w:val="20"/>
          <w:u w:val="single"/>
        </w:rPr>
      </w:pPr>
      <w:r w:rsidRPr="00980304">
        <w:rPr>
          <w:rFonts w:ascii="Times New Roman" w:eastAsia="Times New Roman" w:hAnsi="Times New Roman"/>
          <w:b/>
          <w:szCs w:val="20"/>
        </w:rPr>
        <w:t>технічних та якісних характеристик закупівлі, розміру бюджетного призначення, очікуваної вартості предмета закупівлі</w:t>
      </w:r>
    </w:p>
    <w:p w:rsidR="00150045" w:rsidRDefault="00F07619">
      <w:pPr>
        <w:spacing w:before="280" w:after="280" w:line="240" w:lineRule="auto"/>
        <w:jc w:val="both"/>
        <w:rPr>
          <w:rFonts w:ascii="Times New Roman" w:eastAsia="Times New Roman" w:hAnsi="Times New Roman"/>
          <w:i/>
          <w:sz w:val="20"/>
          <w:szCs w:val="20"/>
        </w:rPr>
      </w:pPr>
      <w:r>
        <w:rPr>
          <w:rFonts w:ascii="Times New Roman" w:eastAsia="Times New Roman" w:hAnsi="Times New Roman"/>
          <w:i/>
          <w:sz w:val="20"/>
          <w:szCs w:val="20"/>
        </w:rPr>
        <w:t>(оприлюднюється на виконання постанови КМУ № 710 від 11.10.2016 «Про ефективне використання державних коштів» (зі змінами))</w:t>
      </w:r>
    </w:p>
    <w:p w:rsidR="00150045" w:rsidRDefault="00F07619" w:rsidP="00980304">
      <w:pPr>
        <w:spacing w:before="280" w:after="280" w:line="240" w:lineRule="auto"/>
        <w:jc w:val="both"/>
        <w:rPr>
          <w:rFonts w:ascii="Times New Roman" w:eastAsia="Times New Roman" w:hAnsi="Times New Roman"/>
          <w:b/>
          <w:sz w:val="20"/>
          <w:szCs w:val="20"/>
        </w:rPr>
      </w:pPr>
      <w:r w:rsidRPr="00F07619">
        <w:rPr>
          <w:rFonts w:ascii="Times New Roman" w:eastAsia="Times New Roman" w:hAnsi="Times New Roman"/>
          <w:sz w:val="20"/>
          <w:szCs w:val="20"/>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980304">
        <w:rPr>
          <w:rFonts w:ascii="Times New Roman" w:eastAsia="Times New Roman" w:hAnsi="Times New Roman"/>
          <w:b/>
          <w:i/>
          <w:sz w:val="20"/>
          <w:szCs w:val="20"/>
        </w:rPr>
        <w:t>ВИЩЕ ПРОФЕСІЙНЕ УЧИЛИЩЕ № 17,</w:t>
      </w:r>
      <w:r w:rsidR="0054175C" w:rsidRPr="00980304">
        <w:rPr>
          <w:rFonts w:ascii="Times New Roman" w:eastAsia="Times New Roman" w:hAnsi="Times New Roman"/>
          <w:b/>
          <w:i/>
          <w:sz w:val="20"/>
          <w:szCs w:val="20"/>
        </w:rPr>
        <w:t>проспект Богдана Хмельницького, 49 А, 49055, м. Дніпро, Дніпропетровська область, Україна</w:t>
      </w:r>
      <w:r w:rsidR="00894340" w:rsidRPr="00980304">
        <w:rPr>
          <w:rFonts w:ascii="Times New Roman" w:eastAsia="Times New Roman" w:hAnsi="Times New Roman"/>
          <w:b/>
          <w:i/>
          <w:sz w:val="20"/>
          <w:szCs w:val="20"/>
        </w:rPr>
        <w:t>;</w:t>
      </w:r>
      <w:r w:rsidRPr="00980304">
        <w:rPr>
          <w:rFonts w:ascii="Times New Roman" w:eastAsia="Times New Roman" w:hAnsi="Times New Roman"/>
          <w:b/>
          <w:i/>
          <w:sz w:val="20"/>
          <w:szCs w:val="20"/>
        </w:rPr>
        <w:t>код ЄДРПОУ - 02541444.</w:t>
      </w:r>
      <w:bookmarkStart w:id="0" w:name="_GoBack"/>
      <w:bookmarkEnd w:id="0"/>
    </w:p>
    <w:p w:rsidR="00894340" w:rsidRDefault="00894340" w:rsidP="00894340">
      <w:pPr>
        <w:spacing w:after="0" w:line="240" w:lineRule="auto"/>
        <w:ind w:firstLine="567"/>
        <w:jc w:val="both"/>
        <w:rPr>
          <w:rFonts w:ascii="Times New Roman" w:eastAsia="Times New Roman" w:hAnsi="Times New Roman"/>
          <w:b/>
          <w:i/>
          <w:color w:val="000000"/>
          <w:sz w:val="20"/>
          <w:szCs w:val="20"/>
        </w:rPr>
      </w:pPr>
    </w:p>
    <w:p w:rsidR="004C7A9C" w:rsidRDefault="00F07619" w:rsidP="004C7A9C">
      <w:pPr>
        <w:spacing w:after="0"/>
        <w:jc w:val="both"/>
        <w:rPr>
          <w:rFonts w:ascii="Times New Roman" w:eastAsia="Times New Roman" w:hAnsi="Times New Roman"/>
          <w:sz w:val="20"/>
          <w:szCs w:val="20"/>
        </w:rPr>
      </w:pPr>
      <w:bookmarkStart w:id="1" w:name="_heading=h.gjdgxs" w:colFirst="0" w:colLast="0"/>
      <w:bookmarkEnd w:id="1"/>
      <w:r w:rsidRPr="00F07619">
        <w:rPr>
          <w:rFonts w:ascii="Times New Roman" w:eastAsia="Times New Roman" w:hAnsi="Times New Roman"/>
          <w:color w:val="000000"/>
          <w:sz w:val="20"/>
          <w:szCs w:val="20"/>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004C7A9C" w:rsidRPr="005E2E13">
        <w:rPr>
          <w:rFonts w:ascii="Times New Roman" w:eastAsia="Times New Roman" w:hAnsi="Times New Roman"/>
          <w:b/>
          <w:i/>
          <w:sz w:val="20"/>
          <w:szCs w:val="20"/>
        </w:rPr>
        <w:t>Візок для інструментів / пересувний</w:t>
      </w:r>
      <w:r w:rsidRPr="005E2E13">
        <w:rPr>
          <w:rFonts w:ascii="Times New Roman" w:eastAsia="Times New Roman" w:hAnsi="Times New Roman"/>
          <w:b/>
          <w:i/>
          <w:sz w:val="20"/>
          <w:szCs w:val="20"/>
        </w:rPr>
        <w:t xml:space="preserve"> за кодом Єдиного закупівельного словника ДК 021:2015 - </w:t>
      </w:r>
      <w:r w:rsidR="004C7A9C" w:rsidRPr="005E2E13">
        <w:rPr>
          <w:rFonts w:ascii="Times New Roman" w:eastAsia="Times New Roman" w:hAnsi="Times New Roman"/>
          <w:b/>
          <w:i/>
          <w:sz w:val="20"/>
          <w:szCs w:val="20"/>
        </w:rPr>
        <w:t>44510000-8 Знаряддя</w:t>
      </w:r>
    </w:p>
    <w:p w:rsidR="004C7A9C" w:rsidRDefault="004C7A9C" w:rsidP="004C7A9C">
      <w:pPr>
        <w:spacing w:after="0"/>
        <w:jc w:val="both"/>
        <w:rPr>
          <w:rFonts w:ascii="Times New Roman" w:eastAsia="Times New Roman" w:hAnsi="Times New Roman"/>
          <w:sz w:val="20"/>
          <w:szCs w:val="20"/>
        </w:rPr>
      </w:pPr>
    </w:p>
    <w:p w:rsidR="00150045" w:rsidRDefault="00F07619" w:rsidP="004C7A9C">
      <w:pPr>
        <w:spacing w:after="0"/>
        <w:jc w:val="both"/>
        <w:rPr>
          <w:rFonts w:ascii="Times New Roman" w:eastAsia="Times New Roman" w:hAnsi="Times New Roman"/>
          <w:sz w:val="20"/>
          <w:szCs w:val="20"/>
        </w:rPr>
      </w:pPr>
      <w:r w:rsidRPr="00980304">
        <w:rPr>
          <w:rFonts w:ascii="Times New Roman" w:eastAsia="Times New Roman" w:hAnsi="Times New Roman"/>
          <w:sz w:val="20"/>
          <w:szCs w:val="20"/>
        </w:rPr>
        <w:t>Вид та ідентифікатор процедури закупівлі:</w:t>
      </w:r>
      <w:r w:rsidRPr="00980304">
        <w:rPr>
          <w:rFonts w:ascii="Times New Roman" w:eastAsia="Times New Roman" w:hAnsi="Times New Roman"/>
          <w:b/>
          <w:i/>
          <w:sz w:val="20"/>
          <w:szCs w:val="20"/>
        </w:rPr>
        <w:t xml:space="preserve">Відкриті торги </w:t>
      </w:r>
      <w:r w:rsidR="00894340" w:rsidRPr="00980304">
        <w:rPr>
          <w:rFonts w:ascii="Times New Roman" w:eastAsia="Times New Roman" w:hAnsi="Times New Roman"/>
          <w:b/>
          <w:i/>
          <w:sz w:val="20"/>
          <w:szCs w:val="20"/>
        </w:rPr>
        <w:t>(</w:t>
      </w:r>
      <w:r w:rsidRPr="00980304">
        <w:rPr>
          <w:rFonts w:ascii="Times New Roman" w:eastAsia="Times New Roman" w:hAnsi="Times New Roman"/>
          <w:b/>
          <w:i/>
          <w:sz w:val="20"/>
          <w:szCs w:val="20"/>
        </w:rPr>
        <w:t>з особливостями</w:t>
      </w:r>
      <w:r w:rsidR="00894340" w:rsidRPr="00980304">
        <w:rPr>
          <w:rFonts w:ascii="Times New Roman" w:eastAsia="Times New Roman" w:hAnsi="Times New Roman"/>
          <w:b/>
          <w:i/>
          <w:sz w:val="20"/>
          <w:szCs w:val="20"/>
        </w:rPr>
        <w:t>)</w:t>
      </w:r>
      <w:r w:rsidR="00980304" w:rsidRPr="00980304">
        <w:rPr>
          <w:rFonts w:ascii="Times New Roman" w:eastAsia="Times New Roman" w:hAnsi="Times New Roman"/>
          <w:b/>
          <w:i/>
          <w:sz w:val="20"/>
          <w:szCs w:val="20"/>
        </w:rPr>
        <w:t xml:space="preserve">; </w:t>
      </w:r>
      <w:r w:rsidR="00980304" w:rsidRPr="00980304">
        <w:rPr>
          <w:rFonts w:ascii="Times New Roman" w:eastAsia="Times New Roman" w:hAnsi="Times New Roman"/>
          <w:b/>
          <w:i/>
          <w:sz w:val="20"/>
          <w:szCs w:val="20"/>
          <w:lang w:val="en-US"/>
        </w:rPr>
        <w:t>ID</w:t>
      </w:r>
      <w:r w:rsidR="00980304" w:rsidRPr="00980304">
        <w:rPr>
          <w:rFonts w:ascii="Times New Roman" w:eastAsia="Times New Roman" w:hAnsi="Times New Roman"/>
          <w:b/>
          <w:i/>
          <w:sz w:val="20"/>
          <w:szCs w:val="20"/>
          <w:lang w:val="ru-RU"/>
        </w:rPr>
        <w:t xml:space="preserve">: </w:t>
      </w:r>
      <w:r w:rsidR="005E2E13" w:rsidRPr="005E2E13">
        <w:rPr>
          <w:rFonts w:ascii="Times New Roman" w:hAnsi="Times New Roman"/>
          <w:b/>
          <w:i/>
          <w:color w:val="333333"/>
          <w:sz w:val="20"/>
          <w:szCs w:val="20"/>
          <w:shd w:val="clear" w:color="auto" w:fill="FFFFFF"/>
        </w:rPr>
        <w:t>UA-2025-06-26-005622-a</w:t>
      </w:r>
    </w:p>
    <w:p w:rsidR="00894340" w:rsidRPr="00980304" w:rsidRDefault="00F07619" w:rsidP="00980304">
      <w:pPr>
        <w:keepNext/>
        <w:widowControl w:val="0"/>
        <w:spacing w:after="0"/>
        <w:jc w:val="both"/>
        <w:rPr>
          <w:rFonts w:ascii="Times New Roman" w:eastAsia="Times New Roman" w:hAnsi="Times New Roman"/>
          <w:b/>
          <w:i/>
          <w:sz w:val="20"/>
          <w:szCs w:val="20"/>
        </w:rPr>
      </w:pPr>
      <w:r w:rsidRPr="00980304">
        <w:rPr>
          <w:rFonts w:ascii="Times New Roman" w:eastAsia="Times New Roman" w:hAnsi="Times New Roman"/>
          <w:sz w:val="20"/>
          <w:szCs w:val="20"/>
        </w:rPr>
        <w:t>Розмір бюджетного призначення:</w:t>
      </w:r>
      <w:r w:rsidR="004C7A9C">
        <w:rPr>
          <w:rFonts w:ascii="Times New Roman" w:eastAsia="Times New Roman" w:hAnsi="Times New Roman"/>
          <w:b/>
          <w:i/>
          <w:sz w:val="20"/>
          <w:szCs w:val="20"/>
        </w:rPr>
        <w:t>168 000</w:t>
      </w:r>
      <w:r w:rsidR="00894340" w:rsidRPr="00980304">
        <w:rPr>
          <w:rFonts w:ascii="Times New Roman" w:eastAsia="Times New Roman" w:hAnsi="Times New Roman"/>
          <w:b/>
          <w:i/>
          <w:sz w:val="20"/>
          <w:szCs w:val="20"/>
        </w:rPr>
        <w:t>,00 (</w:t>
      </w:r>
      <w:r w:rsidR="004C7A9C">
        <w:rPr>
          <w:rFonts w:ascii="Times New Roman" w:eastAsia="Times New Roman" w:hAnsi="Times New Roman"/>
          <w:b/>
          <w:i/>
          <w:sz w:val="20"/>
          <w:szCs w:val="20"/>
        </w:rPr>
        <w:t>Сто шістдесят вісім тисяч</w:t>
      </w:r>
      <w:r w:rsidR="00894340" w:rsidRPr="00980304">
        <w:rPr>
          <w:rFonts w:ascii="Times New Roman" w:eastAsia="Times New Roman" w:hAnsi="Times New Roman"/>
          <w:b/>
          <w:i/>
          <w:sz w:val="20"/>
          <w:szCs w:val="20"/>
        </w:rPr>
        <w:t xml:space="preserve"> гривень 00 копійок, в т.ч.</w:t>
      </w:r>
      <w:r w:rsidR="00894340" w:rsidRPr="00980304">
        <w:rPr>
          <w:rFonts w:ascii="Times New Roman" w:eastAsia="Times New Roman" w:hAnsi="Times New Roman"/>
          <w:b/>
          <w:i/>
          <w:sz w:val="20"/>
          <w:szCs w:val="20"/>
          <w:lang w:val="ru-RU"/>
        </w:rPr>
        <w:t>:</w:t>
      </w:r>
    </w:p>
    <w:p w:rsidR="00150045" w:rsidRPr="00980304" w:rsidRDefault="004C7A9C" w:rsidP="004C7A9C">
      <w:pPr>
        <w:keepNext/>
        <w:widowControl w:val="0"/>
        <w:spacing w:after="0"/>
        <w:jc w:val="both"/>
        <w:rPr>
          <w:rFonts w:ascii="Times New Roman" w:eastAsia="Times New Roman" w:hAnsi="Times New Roman"/>
          <w:b/>
          <w:i/>
          <w:sz w:val="20"/>
          <w:szCs w:val="20"/>
        </w:rPr>
      </w:pPr>
      <w:r>
        <w:rPr>
          <w:rFonts w:ascii="Times New Roman" w:eastAsia="Times New Roman" w:hAnsi="Times New Roman"/>
          <w:b/>
          <w:i/>
          <w:sz w:val="20"/>
          <w:szCs w:val="20"/>
        </w:rPr>
        <w:t>КПК 0611091</w:t>
      </w:r>
      <w:r w:rsidR="00894340" w:rsidRPr="00980304">
        <w:rPr>
          <w:rFonts w:ascii="Times New Roman" w:eastAsia="Times New Roman" w:hAnsi="Times New Roman"/>
          <w:b/>
          <w:i/>
          <w:sz w:val="20"/>
          <w:szCs w:val="20"/>
        </w:rPr>
        <w:t xml:space="preserve"> -  </w:t>
      </w:r>
      <w:r>
        <w:rPr>
          <w:rFonts w:ascii="Times New Roman" w:eastAsia="Times New Roman" w:hAnsi="Times New Roman"/>
          <w:b/>
          <w:i/>
          <w:sz w:val="20"/>
          <w:szCs w:val="20"/>
        </w:rPr>
        <w:t>168 000,00</w:t>
      </w:r>
      <w:r w:rsidR="00894340" w:rsidRPr="00980304">
        <w:rPr>
          <w:rFonts w:ascii="Times New Roman" w:eastAsia="Times New Roman" w:hAnsi="Times New Roman"/>
          <w:b/>
          <w:i/>
          <w:sz w:val="20"/>
          <w:szCs w:val="20"/>
        </w:rPr>
        <w:t xml:space="preserve">  гривень  - </w:t>
      </w:r>
      <w:r>
        <w:rPr>
          <w:rFonts w:ascii="Times New Roman" w:eastAsia="Times New Roman" w:hAnsi="Times New Roman"/>
          <w:b/>
          <w:i/>
          <w:sz w:val="20"/>
          <w:szCs w:val="20"/>
        </w:rPr>
        <w:t xml:space="preserve"> за рахунок власних надходжень від додаткової (господарської) діяльності.</w:t>
      </w:r>
    </w:p>
    <w:p w:rsidR="00894340" w:rsidRDefault="00894340" w:rsidP="00894340">
      <w:pPr>
        <w:spacing w:after="0" w:line="240" w:lineRule="auto"/>
        <w:jc w:val="both"/>
        <w:rPr>
          <w:rFonts w:ascii="Times New Roman" w:eastAsia="Times New Roman" w:hAnsi="Times New Roman"/>
          <w:sz w:val="20"/>
          <w:szCs w:val="20"/>
        </w:rPr>
      </w:pPr>
    </w:p>
    <w:p w:rsidR="00150045" w:rsidRPr="00980304" w:rsidRDefault="00F07619">
      <w:pPr>
        <w:spacing w:after="0" w:line="240" w:lineRule="auto"/>
        <w:ind w:firstLine="720"/>
        <w:jc w:val="both"/>
        <w:rPr>
          <w:rFonts w:ascii="Times New Roman" w:eastAsia="Times New Roman" w:hAnsi="Times New Roman"/>
          <w:b/>
          <w:i/>
          <w:sz w:val="20"/>
          <w:szCs w:val="20"/>
        </w:rPr>
      </w:pPr>
      <w:bookmarkStart w:id="2" w:name="_heading=h.3znysh7" w:colFirst="0" w:colLast="0"/>
      <w:bookmarkEnd w:id="2"/>
      <w:r w:rsidRPr="00980304">
        <w:rPr>
          <w:rFonts w:ascii="Times New Roman" w:eastAsia="Times New Roman" w:hAnsi="Times New Roman"/>
          <w:b/>
          <w:i/>
          <w:sz w:val="20"/>
          <w:szCs w:val="20"/>
        </w:rPr>
        <w:t xml:space="preserve">Очікувана вартість предмета закупівлі визначена відповідно до проведеного моніторингу цін шляхом пошуку, збору та аналізу загальнодоступної інформації про ціни, що містяться в мережі Інтернет у відкритому доступі, а також порівняння ринкових цін шляхом отримання трьох комерційних пропозицій у постачальників. </w:t>
      </w:r>
    </w:p>
    <w:p w:rsidR="00150045" w:rsidRDefault="00150045">
      <w:pPr>
        <w:spacing w:after="0" w:line="240" w:lineRule="auto"/>
        <w:ind w:firstLine="720"/>
        <w:jc w:val="both"/>
        <w:rPr>
          <w:rFonts w:ascii="Times New Roman" w:eastAsia="Times New Roman" w:hAnsi="Times New Roman"/>
          <w:sz w:val="20"/>
          <w:szCs w:val="20"/>
        </w:rPr>
      </w:pPr>
    </w:p>
    <w:p w:rsidR="00150045" w:rsidRPr="00980304" w:rsidRDefault="00F07619">
      <w:pPr>
        <w:spacing w:after="0" w:line="240" w:lineRule="auto"/>
        <w:jc w:val="both"/>
        <w:rPr>
          <w:rFonts w:ascii="Times New Roman" w:eastAsia="Times New Roman" w:hAnsi="Times New Roman"/>
          <w:sz w:val="20"/>
          <w:szCs w:val="20"/>
        </w:rPr>
      </w:pPr>
      <w:r w:rsidRPr="00980304">
        <w:rPr>
          <w:rFonts w:ascii="Times New Roman" w:eastAsia="Times New Roman" w:hAnsi="Times New Roman"/>
          <w:sz w:val="20"/>
          <w:szCs w:val="20"/>
        </w:rPr>
        <w:t xml:space="preserve">Обґрунтування технічних, якісних характеристик. </w:t>
      </w:r>
    </w:p>
    <w:p w:rsidR="00F07619" w:rsidRPr="004C7A9C" w:rsidRDefault="00F07619" w:rsidP="00F07619">
      <w:pPr>
        <w:spacing w:after="0" w:line="240" w:lineRule="auto"/>
        <w:ind w:firstLine="567"/>
        <w:jc w:val="both"/>
        <w:rPr>
          <w:rFonts w:ascii="Times New Roman" w:eastAsia="Times New Roman" w:hAnsi="Times New Roman"/>
          <w:b/>
          <w:i/>
          <w:sz w:val="20"/>
          <w:szCs w:val="20"/>
        </w:rPr>
      </w:pPr>
      <w:bookmarkStart w:id="3" w:name="n3"/>
      <w:bookmarkStart w:id="4" w:name="_heading=h.uw0vd9bkb1ra" w:colFirst="0" w:colLast="0"/>
      <w:bookmarkEnd w:id="3"/>
      <w:bookmarkEnd w:id="4"/>
      <w:r w:rsidRPr="004C7A9C">
        <w:rPr>
          <w:rFonts w:ascii="Times New Roman" w:eastAsia="Times New Roman" w:hAnsi="Times New Roman"/>
          <w:b/>
          <w:i/>
          <w:sz w:val="20"/>
          <w:szCs w:val="20"/>
        </w:rPr>
        <w:t xml:space="preserve">Закупівля здійснюється в рамках реалізації публічного інвестиційного проекту «Модернізація майстерень і лабораторій закладів професійної та фахової </w:t>
      </w:r>
      <w:proofErr w:type="spellStart"/>
      <w:r w:rsidRPr="004C7A9C">
        <w:rPr>
          <w:rFonts w:ascii="Times New Roman" w:eastAsia="Times New Roman" w:hAnsi="Times New Roman"/>
          <w:b/>
          <w:i/>
          <w:sz w:val="20"/>
          <w:szCs w:val="20"/>
        </w:rPr>
        <w:t>передвищої</w:t>
      </w:r>
      <w:proofErr w:type="spellEnd"/>
      <w:r w:rsidRPr="004C7A9C">
        <w:rPr>
          <w:rFonts w:ascii="Times New Roman" w:eastAsia="Times New Roman" w:hAnsi="Times New Roman"/>
          <w:b/>
          <w:i/>
          <w:sz w:val="20"/>
          <w:szCs w:val="20"/>
        </w:rPr>
        <w:t xml:space="preserve"> освіти, забезпечення ефективності, безпеки та </w:t>
      </w:r>
      <w:proofErr w:type="spellStart"/>
      <w:r w:rsidRPr="004C7A9C">
        <w:rPr>
          <w:rFonts w:ascii="Times New Roman" w:eastAsia="Times New Roman" w:hAnsi="Times New Roman"/>
          <w:b/>
          <w:i/>
          <w:sz w:val="20"/>
          <w:szCs w:val="20"/>
        </w:rPr>
        <w:t>інклюзивності</w:t>
      </w:r>
      <w:proofErr w:type="spellEnd"/>
      <w:r w:rsidRPr="004C7A9C">
        <w:rPr>
          <w:rFonts w:ascii="Times New Roman" w:eastAsia="Times New Roman" w:hAnsi="Times New Roman"/>
          <w:b/>
          <w:i/>
          <w:sz w:val="20"/>
          <w:szCs w:val="20"/>
        </w:rPr>
        <w:t xml:space="preserve"> освітнього простору».</w:t>
      </w:r>
      <w:r w:rsidR="0006052A">
        <w:rPr>
          <w:rFonts w:ascii="Times New Roman" w:eastAsia="Times New Roman" w:hAnsi="Times New Roman"/>
          <w:b/>
          <w:i/>
          <w:sz w:val="20"/>
          <w:szCs w:val="20"/>
        </w:rPr>
        <w:t xml:space="preserve"> </w:t>
      </w:r>
      <w:proofErr w:type="spellStart"/>
      <w:r w:rsidR="00873345" w:rsidRPr="004C7A9C">
        <w:rPr>
          <w:rFonts w:ascii="Times New Roman" w:eastAsia="Times New Roman" w:hAnsi="Times New Roman"/>
          <w:b/>
          <w:i/>
          <w:sz w:val="20"/>
          <w:szCs w:val="20"/>
        </w:rPr>
        <w:t>Співфінансується</w:t>
      </w:r>
      <w:proofErr w:type="spellEnd"/>
      <w:r w:rsidR="00873345" w:rsidRPr="004C7A9C">
        <w:rPr>
          <w:rFonts w:ascii="Times New Roman" w:eastAsia="Times New Roman" w:hAnsi="Times New Roman"/>
          <w:b/>
          <w:i/>
          <w:sz w:val="20"/>
          <w:szCs w:val="20"/>
        </w:rPr>
        <w:t xml:space="preserve"> за кошти Європейського Союзу в межах Рамкової угоди між Україною та Європейським союзом щодо спеціальних механізмів реалізації фінансування Союзу для України згідно з інструментом </w:t>
      </w:r>
      <w:proofErr w:type="spellStart"/>
      <w:r w:rsidR="00873345" w:rsidRPr="004C7A9C">
        <w:rPr>
          <w:rFonts w:ascii="Times New Roman" w:eastAsia="Times New Roman" w:hAnsi="Times New Roman"/>
          <w:b/>
          <w:i/>
          <w:sz w:val="20"/>
          <w:szCs w:val="20"/>
        </w:rPr>
        <w:t>UkraineFacility</w:t>
      </w:r>
      <w:proofErr w:type="spellEnd"/>
      <w:r w:rsidR="00873345" w:rsidRPr="004C7A9C">
        <w:rPr>
          <w:rFonts w:ascii="Times New Roman" w:eastAsia="Times New Roman" w:hAnsi="Times New Roman"/>
          <w:b/>
          <w:i/>
          <w:sz w:val="20"/>
          <w:szCs w:val="20"/>
        </w:rPr>
        <w:t xml:space="preserve">, ратифікованої Законом України від 06.06.2024 № 3786-ІХ, Плану України, схваленого розпорядженням Кабінету Міністрів України від 18.04.2024 № 244-р та Постановою Кабінету Міністрів України від 15.11.2024 № 1318 «Деякі питання реалізації інструменту </w:t>
      </w:r>
      <w:proofErr w:type="spellStart"/>
      <w:r w:rsidR="00873345" w:rsidRPr="004C7A9C">
        <w:rPr>
          <w:rFonts w:ascii="Times New Roman" w:eastAsia="Times New Roman" w:hAnsi="Times New Roman"/>
          <w:b/>
          <w:i/>
          <w:sz w:val="20"/>
          <w:szCs w:val="20"/>
        </w:rPr>
        <w:t>UkraineFacility</w:t>
      </w:r>
      <w:proofErr w:type="spellEnd"/>
      <w:r w:rsidR="00873345" w:rsidRPr="004C7A9C">
        <w:rPr>
          <w:rFonts w:ascii="Times New Roman" w:eastAsia="Times New Roman" w:hAnsi="Times New Roman"/>
          <w:b/>
          <w:i/>
          <w:sz w:val="20"/>
          <w:szCs w:val="20"/>
        </w:rPr>
        <w:t>»</w:t>
      </w:r>
    </w:p>
    <w:p w:rsidR="004C7A9C" w:rsidRPr="004C7A9C" w:rsidRDefault="004C7A9C" w:rsidP="004C7A9C">
      <w:pPr>
        <w:pStyle w:val="ae"/>
        <w:ind w:left="0" w:firstLine="540"/>
        <w:rPr>
          <w:bCs w:val="0"/>
          <w:i/>
          <w:lang w:eastAsia="ru-RU"/>
        </w:rPr>
      </w:pPr>
      <w:r w:rsidRPr="004C7A9C">
        <w:rPr>
          <w:bCs w:val="0"/>
          <w:i/>
          <w:lang w:eastAsia="ru-RU"/>
        </w:rPr>
        <w:t>Дніпропетровська область є високо урбанізованою, а частка міського населення значно вища за середньо-український показник (83,5% проти 68,5%). Переважна більшість населення області проживає в містах обласного значення (74,3%). Така територіальна структура розміщення населення області є результатом історичного розвитку промисловості в регіоні. За даними Державної служби статистики, Дніпропетровська область належить до областей, що забезпечують високу частку валового регіонального продукту (ВРП) у ВВП. Уже десять років поспіль показник участі області у формуванні ВВП України перевищує 10%.</w:t>
      </w:r>
    </w:p>
    <w:p w:rsidR="004C7A9C" w:rsidRPr="004C7A9C" w:rsidRDefault="004C7A9C" w:rsidP="004C7A9C">
      <w:pPr>
        <w:pStyle w:val="ae"/>
        <w:ind w:left="0" w:firstLine="567"/>
        <w:rPr>
          <w:bCs w:val="0"/>
          <w:i/>
          <w:lang w:eastAsia="ru-RU"/>
        </w:rPr>
      </w:pPr>
      <w:r w:rsidRPr="004C7A9C">
        <w:rPr>
          <w:bCs w:val="0"/>
          <w:i/>
          <w:lang w:eastAsia="ru-RU"/>
        </w:rPr>
        <w:t>Область належить до групи регіонів з високим ВРП на душу населення, середніми темпами зростання та переважно великим розміром регіональної економіки. Основне місце належить переробній промисловості 42,0%; добувна промисловість займає 16,8%, оптова та роздрібна торгівля – 9,1%.</w:t>
      </w:r>
    </w:p>
    <w:p w:rsidR="004C7A9C" w:rsidRPr="004C7A9C" w:rsidRDefault="004C7A9C" w:rsidP="004C7A9C">
      <w:pPr>
        <w:pStyle w:val="ae"/>
        <w:spacing w:before="71"/>
        <w:ind w:left="0"/>
        <w:rPr>
          <w:bCs w:val="0"/>
          <w:i/>
          <w:lang w:eastAsia="ru-RU"/>
        </w:rPr>
      </w:pPr>
      <w:r w:rsidRPr="004C7A9C">
        <w:rPr>
          <w:bCs w:val="0"/>
          <w:i/>
          <w:lang w:eastAsia="ru-RU"/>
        </w:rPr>
        <w:t xml:space="preserve">Важливими позитивними напрямами розвитку Дніпропетровського регіону («Цілі сталого розвитку Дніпро-2030») визначено істотне збільшення частки промисловості, а п’ятою потенційною «Точкою зростання» до 2012 року було машинобудування, враховуючи його стабільний і зростаючий темп і значну частку в загальному обсязі промисловості. Однак намітилася негативна тенденція до зниження темпів зростання і частки в загальному вартісному обсязі реалізованої продукції, яка зберіглася донині. Машинобудування є стратегічно важливим з огляду на високу додану вартість продукції. Потрібно враховувати також наявність ресурсного потенціалу та наявний науково-технічний і кадровий потенціал у цій сфері. Активація цієї точки зростання також необхідна для просування регіону на </w:t>
      </w:r>
      <w:r w:rsidRPr="004C7A9C">
        <w:rPr>
          <w:bCs w:val="0"/>
          <w:i/>
          <w:lang w:eastAsia="ru-RU"/>
        </w:rPr>
        <w:lastRenderedPageBreak/>
        <w:t>світовому рівні, підвищення конкурентоспроможності продукції, що передбачає подальше залучення іноземних інвестицій та висококваліфікованих кадрів і, як, наслідок підвищення науково-технічного потенціалу регіону. Розвиток цього напряму може мати не тільки економічний, а й соціальний ефект. Виходячи з вищезазначеного, до пріоритетних напрямів мінімізації ризиків соціально-економічного розвитку, а отже, й просування Дніпропетровського регіону в бік реалізації «Цілі сталого розвитку Дніпро-2030» можна віднести підвищення інноваційної активності промислових підприємств; оновлення основних фондів; збільшення обсягів інвестицій в основний капітал. Але стратегічне бачення цього напрямку вимагає суттєвої модернізації системи професійної підготовки майбутніх фахівців сфери машинобудування.</w:t>
      </w:r>
    </w:p>
    <w:p w:rsidR="004C7A9C" w:rsidRPr="004C7A9C" w:rsidRDefault="004C7A9C" w:rsidP="004C7A9C">
      <w:pPr>
        <w:pStyle w:val="ae"/>
        <w:ind w:left="0"/>
        <w:rPr>
          <w:bCs w:val="0"/>
          <w:i/>
          <w:lang w:eastAsia="ru-RU"/>
        </w:rPr>
      </w:pPr>
      <w:r w:rsidRPr="004C7A9C">
        <w:rPr>
          <w:bCs w:val="0"/>
          <w:i/>
          <w:lang w:eastAsia="ru-RU"/>
        </w:rPr>
        <w:t>Згідно аналізу Дніпропетровського обласного центру зайнятості професії машинобудівного напрямку вже не перший рік входять до списку найактуальніших професій на ринку праці регіону («Барометр професій Дніпропетровського регіону»).</w:t>
      </w:r>
    </w:p>
    <w:p w:rsidR="004C7A9C" w:rsidRPr="004C7A9C" w:rsidRDefault="004C7A9C" w:rsidP="004C7A9C">
      <w:pPr>
        <w:pStyle w:val="ae"/>
        <w:ind w:left="0" w:firstLine="540"/>
        <w:rPr>
          <w:bCs w:val="0"/>
          <w:i/>
          <w:lang w:eastAsia="ru-RU"/>
        </w:rPr>
      </w:pPr>
      <w:r w:rsidRPr="004C7A9C">
        <w:rPr>
          <w:bCs w:val="0"/>
          <w:i/>
          <w:lang w:eastAsia="ru-RU"/>
        </w:rPr>
        <w:t>Також особливо актуальним під час воєнного стану є великий попит на професію оператор верстатів з програмним керуванням. Який забезпечує обробку матеріалів у найшвидший термін для подальшого виготовлення деталей для військово-оборонного комплексу, критичної інфраструктури та для цивільних потреб.</w:t>
      </w:r>
    </w:p>
    <w:p w:rsidR="004C7A9C" w:rsidRPr="004C7A9C" w:rsidRDefault="004C7A9C" w:rsidP="004C7A9C">
      <w:pPr>
        <w:pStyle w:val="ae"/>
        <w:ind w:left="0" w:firstLine="540"/>
        <w:rPr>
          <w:bCs w:val="0"/>
          <w:i/>
          <w:lang w:eastAsia="ru-RU"/>
        </w:rPr>
      </w:pPr>
      <w:r w:rsidRPr="004C7A9C">
        <w:rPr>
          <w:bCs w:val="0"/>
          <w:i/>
          <w:lang w:eastAsia="ru-RU"/>
        </w:rPr>
        <w:t>Але порівняно з попитом на операторів верстатів з програмним керуванням зростають і вимоги до них. Дедалі більше, підприємства вимагають вмінь та навиків роботи на сучасному обладнані. Конкуренція стає все жорсткішою, а технології з кожним днем все більше змінюють наше життя. І на сьогодні підготовка кваліфікованих робі</w:t>
      </w:r>
      <w:r w:rsidR="0006052A">
        <w:rPr>
          <w:bCs w:val="0"/>
          <w:i/>
          <w:lang w:eastAsia="ru-RU"/>
        </w:rPr>
        <w:t>т</w:t>
      </w:r>
      <w:r w:rsidRPr="004C7A9C">
        <w:rPr>
          <w:bCs w:val="0"/>
          <w:i/>
          <w:lang w:eastAsia="ru-RU"/>
        </w:rPr>
        <w:t>ників з професії «Оператор верстатів з програмним керуванням» потребує не тільки набуття базових навичок технологічного характеру, а і модернізації обладнання та навчальних приміщень, що буде відповідати сучасному оснащенню на провідних підприєм</w:t>
      </w:r>
      <w:r w:rsidR="0006052A">
        <w:rPr>
          <w:bCs w:val="0"/>
          <w:i/>
          <w:lang w:eastAsia="ru-RU"/>
        </w:rPr>
        <w:t>с</w:t>
      </w:r>
      <w:r w:rsidRPr="004C7A9C">
        <w:rPr>
          <w:bCs w:val="0"/>
          <w:i/>
          <w:lang w:eastAsia="ru-RU"/>
        </w:rPr>
        <w:t>твах України.</w:t>
      </w:r>
    </w:p>
    <w:p w:rsidR="004C7A9C" w:rsidRPr="004C7A9C" w:rsidRDefault="004C7A9C" w:rsidP="004C7A9C">
      <w:pPr>
        <w:pStyle w:val="ae"/>
        <w:spacing w:before="1"/>
        <w:ind w:left="0" w:firstLine="567"/>
        <w:rPr>
          <w:bCs w:val="0"/>
          <w:i/>
          <w:lang w:eastAsia="ru-RU"/>
        </w:rPr>
      </w:pPr>
      <w:r w:rsidRPr="004C7A9C">
        <w:rPr>
          <w:bCs w:val="0"/>
          <w:i/>
          <w:lang w:eastAsia="ru-RU"/>
        </w:rPr>
        <w:t>Вважаємо, що одним із стратегічних пріоритетів сучасної політики регіону та держави в цілому повинно стати формування трудового потенціалу України, підвищення її конкурентоспроможності відповідно до сучасних потреб економічного і соціального розвитку, забезпечення умов для задоволення потреб громадян, суспільства та ринку праці у якісній професійній (професійно-технічній) освіті шляхом створення нових НПЦ за дефіцитним галузевим спрямуванням особливо під час воєнного стану. Адже, незважаючи на стрімкі процеси глобалізації на ринку праці кваліфіковані робітники сфери машинобудування будуть займати актуальне місце на професійному ринку. Професійна (</w:t>
      </w:r>
      <w:proofErr w:type="spellStart"/>
      <w:r w:rsidRPr="004C7A9C">
        <w:rPr>
          <w:bCs w:val="0"/>
          <w:i/>
          <w:lang w:eastAsia="ru-RU"/>
        </w:rPr>
        <w:t>професійно-</w:t>
      </w:r>
      <w:proofErr w:type="spellEnd"/>
      <w:r w:rsidRPr="004C7A9C">
        <w:rPr>
          <w:bCs w:val="0"/>
          <w:i/>
          <w:lang w:eastAsia="ru-RU"/>
        </w:rPr>
        <w:t xml:space="preserve"> технічна) освіта має бути безпосередньо пов’язана з потребами економіки області та України в цілому, а її якість відповідати сучасним вимогам, адже у ринкових умовах виробництва втриматися на робочому місці зможуть лише висококваліфіковані працівники, які досконало володіють необхідними </w:t>
      </w:r>
      <w:proofErr w:type="spellStart"/>
      <w:r w:rsidRPr="004C7A9C">
        <w:rPr>
          <w:bCs w:val="0"/>
          <w:i/>
          <w:lang w:eastAsia="ru-RU"/>
        </w:rPr>
        <w:t>компетентностями</w:t>
      </w:r>
      <w:proofErr w:type="spellEnd"/>
      <w:r w:rsidRPr="004C7A9C">
        <w:rPr>
          <w:bCs w:val="0"/>
          <w:i/>
          <w:lang w:eastAsia="ru-RU"/>
        </w:rPr>
        <w:t xml:space="preserve">. З відкриттям НПЦ ВПУ № 17 планує розширити сферу своєї діяльності і не обмежуватися прийомом лише випускників загальноосвітніх закладів освіти на первинну професійну підготовку, а задіяти всі важелі, щоб залучити до навчання працююче населення (підвищення кваліфікації, стажування), організувати перепідготовку незайнятого населення за направленням центрів зайнятості і без направлень, цільові курси і т.д. Доцільним також буде задіяти процедуру забезпечення здобуття повних або часткових кваліфікацій та </w:t>
      </w:r>
      <w:proofErr w:type="spellStart"/>
      <w:r w:rsidRPr="004C7A9C">
        <w:rPr>
          <w:bCs w:val="0"/>
          <w:i/>
          <w:lang w:eastAsia="ru-RU"/>
        </w:rPr>
        <w:t>компетентностей</w:t>
      </w:r>
      <w:proofErr w:type="spellEnd"/>
      <w:r w:rsidRPr="004C7A9C">
        <w:rPr>
          <w:bCs w:val="0"/>
          <w:i/>
          <w:lang w:eastAsia="ru-RU"/>
        </w:rPr>
        <w:t xml:space="preserve"> на базі НПЦ, що в перспективі надасть можливості реального працевлаштування в Україні з гідною оплатою праці. Також на базі НПЦ можливе проходження підвищення кваліфікації педагогічних і управлінських кадрів, проходження чергової атестації педагогічних працівників та проведення всеукраїнських конкурсів фахової майстерності та регіональнихярмарок професій.</w:t>
      </w:r>
    </w:p>
    <w:p w:rsidR="004C7A9C" w:rsidRPr="004C7A9C" w:rsidRDefault="004C7A9C" w:rsidP="004C7A9C">
      <w:pPr>
        <w:pStyle w:val="ae"/>
        <w:ind w:left="0" w:firstLine="464"/>
        <w:rPr>
          <w:bCs w:val="0"/>
          <w:i/>
          <w:lang w:eastAsia="ru-RU"/>
        </w:rPr>
      </w:pPr>
      <w:r w:rsidRPr="004C7A9C">
        <w:rPr>
          <w:bCs w:val="0"/>
          <w:i/>
          <w:lang w:eastAsia="ru-RU"/>
        </w:rPr>
        <w:t>Після завершення фінансування ВПУ № 17 залучитися підтримкою підприємств - замовників робітничих кадрів: ДП «ВО ПМЗ імені О.М. Макарова», ПАТ «Дніпропетровський агрегатний завод», ТОВ «ІНТЕРПАЙП НІКО ТЬЮБ». Які є провідними підприємствами міста де здобувачі освіти, слухачі, випускники ВПУ №17 будуть закріплювати і вдосконалювати професійні компетентності завдяки працюючим на цих виробництвах верстатів з ЧПК.</w:t>
      </w:r>
    </w:p>
    <w:p w:rsidR="004C7A9C" w:rsidRPr="004C7A9C" w:rsidRDefault="004C7A9C" w:rsidP="004C7A9C">
      <w:pPr>
        <w:pStyle w:val="ae"/>
        <w:ind w:left="0" w:firstLine="709"/>
        <w:rPr>
          <w:bCs w:val="0"/>
          <w:i/>
          <w:lang w:eastAsia="ru-RU"/>
        </w:rPr>
      </w:pPr>
      <w:r w:rsidRPr="004C7A9C">
        <w:rPr>
          <w:bCs w:val="0"/>
          <w:i/>
          <w:lang w:eastAsia="ru-RU"/>
        </w:rPr>
        <w:t>Підприємства-постачальники обладнання після завершення фінансування будуть здійснювати сервісне обслуговування програмного забезпечення та обладнання за кошти ВПУ №17. Направляти на навчання працівників підприємств, які придбали в них обладнання.</w:t>
      </w:r>
    </w:p>
    <w:p w:rsidR="004C7A9C" w:rsidRPr="004C7A9C" w:rsidRDefault="004C7A9C" w:rsidP="004C7A9C">
      <w:pPr>
        <w:pStyle w:val="ae"/>
        <w:ind w:left="0" w:firstLine="709"/>
        <w:rPr>
          <w:bCs w:val="0"/>
          <w:i/>
          <w:lang w:eastAsia="ru-RU"/>
        </w:rPr>
      </w:pPr>
      <w:r w:rsidRPr="004C7A9C">
        <w:rPr>
          <w:bCs w:val="0"/>
          <w:i/>
          <w:lang w:eastAsia="ru-RU"/>
        </w:rPr>
        <w:t>Інститут модернізації змісту освіти та колеги з технікумів, навчально-методичного центру професійної освіти в Дніпропетровській області та колеги із ЗП(ПТ)О будуть рекомендувати та включати в свої плани роботи заходи на базі НПЦ та допомагати розповсюджувати інформацію про новостворені можливості НПЦ.</w:t>
      </w:r>
    </w:p>
    <w:p w:rsidR="004C7A9C" w:rsidRPr="004C7A9C" w:rsidRDefault="004C7A9C" w:rsidP="004C7A9C">
      <w:pPr>
        <w:pStyle w:val="ae"/>
        <w:ind w:left="0" w:firstLine="567"/>
        <w:rPr>
          <w:bCs w:val="0"/>
          <w:i/>
          <w:lang w:eastAsia="ru-RU"/>
        </w:rPr>
      </w:pPr>
      <w:r w:rsidRPr="004C7A9C">
        <w:rPr>
          <w:bCs w:val="0"/>
          <w:i/>
          <w:lang w:eastAsia="ru-RU"/>
        </w:rPr>
        <w:t>Для розвитку НПЦ планується виготовлення готової продукції на обладнанні, залучення працівників підприємств замовників робітничих кадрів для підвищення кваліфікації та перепідготовки в умовах сучасного НПЦ.</w:t>
      </w:r>
    </w:p>
    <w:p w:rsidR="00150045" w:rsidRPr="004C7A9C" w:rsidRDefault="00F07619" w:rsidP="004C7A9C">
      <w:pPr>
        <w:spacing w:after="0" w:line="240" w:lineRule="auto"/>
        <w:ind w:firstLine="708"/>
        <w:jc w:val="both"/>
        <w:rPr>
          <w:rFonts w:ascii="Times New Roman" w:eastAsia="Times New Roman" w:hAnsi="Times New Roman"/>
          <w:b/>
          <w:i/>
          <w:sz w:val="20"/>
          <w:szCs w:val="20"/>
        </w:rPr>
      </w:pPr>
      <w:r w:rsidRPr="004C7A9C">
        <w:rPr>
          <w:rFonts w:ascii="Times New Roman" w:eastAsia="Times New Roman" w:hAnsi="Times New Roman"/>
          <w:b/>
          <w:i/>
          <w:sz w:val="20"/>
          <w:szCs w:val="20"/>
        </w:rPr>
        <w:t xml:space="preserve"> Технічні т</w:t>
      </w:r>
      <w:r w:rsidR="004C7A9C">
        <w:rPr>
          <w:rFonts w:ascii="Times New Roman" w:eastAsia="Times New Roman" w:hAnsi="Times New Roman"/>
          <w:b/>
          <w:i/>
          <w:sz w:val="20"/>
          <w:szCs w:val="20"/>
        </w:rPr>
        <w:t xml:space="preserve">а якісні характеристики товару  відповідають </w:t>
      </w:r>
      <w:r w:rsidRPr="004C7A9C">
        <w:rPr>
          <w:rFonts w:ascii="Times New Roman" w:eastAsia="Times New Roman" w:hAnsi="Times New Roman"/>
          <w:b/>
          <w:i/>
          <w:sz w:val="20"/>
          <w:szCs w:val="20"/>
        </w:rPr>
        <w:t xml:space="preserve">чинним нормативним актам (державним стандартам / технічним умовам / нормам). Якість товару повинна відповідати умовам / вимогам, встановленим чинним законодавством України для цієї категорії товару. </w:t>
      </w:r>
    </w:p>
    <w:p w:rsidR="00150045" w:rsidRPr="004C7A9C" w:rsidRDefault="00F07619">
      <w:pPr>
        <w:spacing w:after="0" w:line="240" w:lineRule="auto"/>
        <w:ind w:firstLine="720"/>
        <w:jc w:val="both"/>
        <w:rPr>
          <w:rFonts w:ascii="Times New Roman" w:eastAsia="Times New Roman" w:hAnsi="Times New Roman"/>
          <w:b/>
          <w:i/>
          <w:sz w:val="20"/>
          <w:szCs w:val="20"/>
        </w:rPr>
      </w:pPr>
      <w:bookmarkStart w:id="5" w:name="_heading=h.gcsfbalot2fo" w:colFirst="0" w:colLast="0"/>
      <w:bookmarkEnd w:id="5"/>
      <w:r w:rsidRPr="004C7A9C">
        <w:rPr>
          <w:rFonts w:ascii="Times New Roman" w:eastAsia="Times New Roman" w:hAnsi="Times New Roman"/>
          <w:b/>
          <w:i/>
          <w:sz w:val="20"/>
          <w:szCs w:val="20"/>
        </w:rPr>
        <w:t>Кількість та строк постачання визначено відповідно до потреби замовника.</w:t>
      </w:r>
    </w:p>
    <w:p w:rsidR="00150045" w:rsidRPr="004C7A9C" w:rsidRDefault="00F07619">
      <w:pPr>
        <w:spacing w:after="0" w:line="240" w:lineRule="auto"/>
        <w:ind w:firstLine="720"/>
        <w:jc w:val="both"/>
        <w:rPr>
          <w:rFonts w:ascii="Times New Roman" w:eastAsia="Times New Roman" w:hAnsi="Times New Roman"/>
          <w:b/>
          <w:i/>
          <w:sz w:val="20"/>
          <w:szCs w:val="20"/>
        </w:rPr>
      </w:pPr>
      <w:bookmarkStart w:id="6" w:name="_heading=h.tk7gtee6mzm" w:colFirst="0" w:colLast="0"/>
      <w:bookmarkEnd w:id="6"/>
      <w:r w:rsidRPr="004C7A9C">
        <w:rPr>
          <w:rFonts w:ascii="Times New Roman" w:eastAsia="Times New Roman" w:hAnsi="Times New Roman"/>
          <w:b/>
          <w:i/>
          <w:sz w:val="20"/>
          <w:szCs w:val="20"/>
        </w:rPr>
        <w:t xml:space="preserve">Упаковка товару повинна забезпечувати повне його збереження від всякого роду пошкоджень при транспортуванні. </w:t>
      </w:r>
    </w:p>
    <w:p w:rsidR="00150045" w:rsidRPr="004C7A9C" w:rsidRDefault="00F07619">
      <w:pPr>
        <w:spacing w:after="0" w:line="240" w:lineRule="auto"/>
        <w:ind w:firstLine="720"/>
        <w:jc w:val="both"/>
        <w:rPr>
          <w:rFonts w:ascii="Times New Roman" w:eastAsia="Times New Roman" w:hAnsi="Times New Roman"/>
          <w:b/>
          <w:i/>
          <w:sz w:val="20"/>
          <w:szCs w:val="20"/>
        </w:rPr>
      </w:pPr>
      <w:bookmarkStart w:id="7" w:name="_heading=h.qnwmtff3jstz" w:colFirst="0" w:colLast="0"/>
      <w:bookmarkEnd w:id="7"/>
      <w:r w:rsidRPr="004C7A9C">
        <w:rPr>
          <w:rFonts w:ascii="Times New Roman" w:eastAsia="Times New Roman" w:hAnsi="Times New Roman"/>
          <w:b/>
          <w:i/>
          <w:sz w:val="20"/>
          <w:szCs w:val="20"/>
        </w:rPr>
        <w:t xml:space="preserve">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w:t>
      </w:r>
      <w:r w:rsidRPr="004C7A9C">
        <w:rPr>
          <w:rFonts w:ascii="Times New Roman" w:eastAsia="Times New Roman" w:hAnsi="Times New Roman"/>
          <w:b/>
          <w:i/>
          <w:sz w:val="20"/>
          <w:szCs w:val="20"/>
        </w:rPr>
        <w:lastRenderedPageBreak/>
        <w:t>марки, патенти, типи або конкретне місце походження чи спосіб виробництва, вважати вираз  «або еквівалент».</w:t>
      </w:r>
    </w:p>
    <w:p w:rsidR="00150045" w:rsidRPr="004C7A9C" w:rsidRDefault="00F07619" w:rsidP="00980304">
      <w:pPr>
        <w:shd w:val="clear" w:color="auto" w:fill="FFFFFF"/>
        <w:spacing w:after="0" w:line="240" w:lineRule="auto"/>
        <w:ind w:firstLine="460"/>
        <w:jc w:val="both"/>
        <w:rPr>
          <w:rFonts w:ascii="Times New Roman" w:eastAsia="Times New Roman" w:hAnsi="Times New Roman"/>
          <w:b/>
          <w:i/>
          <w:sz w:val="20"/>
          <w:szCs w:val="20"/>
        </w:rPr>
      </w:pPr>
      <w:r w:rsidRPr="004C7A9C">
        <w:rPr>
          <w:rFonts w:ascii="Times New Roman" w:eastAsia="Times New Roman" w:hAnsi="Times New Roman"/>
          <w:b/>
          <w:i/>
          <w:sz w:val="20"/>
          <w:szCs w:val="20"/>
        </w:rPr>
        <w:t>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Таким чином, вважається, що до кожного посилання додається вираз «або еквівалент».</w:t>
      </w:r>
      <w:bookmarkStart w:id="8" w:name="_heading=h.3xq18ew4dvl7" w:colFirst="0" w:colLast="0"/>
      <w:bookmarkEnd w:id="8"/>
    </w:p>
    <w:tbl>
      <w:tblPr>
        <w:tblpPr w:leftFromText="180" w:rightFromText="180" w:vertAnchor="text" w:horzAnchor="margin" w:tblpY="5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2409"/>
        <w:gridCol w:w="851"/>
        <w:gridCol w:w="992"/>
        <w:gridCol w:w="4956"/>
      </w:tblGrid>
      <w:tr w:rsidR="00980304" w:rsidRPr="00BC3821" w:rsidTr="00980304">
        <w:trPr>
          <w:trHeight w:val="517"/>
        </w:trPr>
        <w:tc>
          <w:tcPr>
            <w:tcW w:w="710" w:type="dxa"/>
            <w:shd w:val="clear" w:color="auto" w:fill="auto"/>
            <w:vAlign w:val="center"/>
          </w:tcPr>
          <w:p w:rsidR="00980304" w:rsidRPr="00BC3821" w:rsidRDefault="00980304" w:rsidP="00C46A3A">
            <w:pPr>
              <w:spacing w:after="0" w:line="240" w:lineRule="auto"/>
              <w:jc w:val="center"/>
              <w:rPr>
                <w:rFonts w:ascii="Times New Roman" w:eastAsia="Times New Roman" w:hAnsi="Times New Roman"/>
                <w:color w:val="000000" w:themeColor="text1"/>
                <w:spacing w:val="-3"/>
                <w:sz w:val="20"/>
                <w:szCs w:val="24"/>
              </w:rPr>
            </w:pPr>
            <w:bookmarkStart w:id="9" w:name="_heading=h.v1pb7kbleul0" w:colFirst="0" w:colLast="0"/>
            <w:bookmarkEnd w:id="9"/>
            <w:r w:rsidRPr="00BC3821">
              <w:rPr>
                <w:rFonts w:ascii="Times New Roman" w:eastAsia="Times New Roman" w:hAnsi="Times New Roman"/>
                <w:color w:val="000000" w:themeColor="text1"/>
                <w:spacing w:val="-3"/>
                <w:sz w:val="20"/>
                <w:szCs w:val="24"/>
              </w:rPr>
              <w:t>№ з/п</w:t>
            </w:r>
          </w:p>
        </w:tc>
        <w:tc>
          <w:tcPr>
            <w:tcW w:w="2409" w:type="dxa"/>
            <w:shd w:val="clear" w:color="auto" w:fill="auto"/>
            <w:vAlign w:val="center"/>
          </w:tcPr>
          <w:p w:rsidR="00980304" w:rsidRPr="00BC3821" w:rsidRDefault="00980304" w:rsidP="00C46A3A">
            <w:pPr>
              <w:spacing w:after="0" w:line="240" w:lineRule="auto"/>
              <w:jc w:val="center"/>
              <w:rPr>
                <w:rFonts w:ascii="Times New Roman" w:eastAsia="Times New Roman" w:hAnsi="Times New Roman"/>
                <w:color w:val="000000" w:themeColor="text1"/>
                <w:spacing w:val="-3"/>
                <w:sz w:val="20"/>
                <w:szCs w:val="24"/>
              </w:rPr>
            </w:pPr>
            <w:r w:rsidRPr="00BC3821">
              <w:rPr>
                <w:rFonts w:ascii="Times New Roman" w:eastAsia="Times New Roman" w:hAnsi="Times New Roman"/>
                <w:color w:val="000000" w:themeColor="text1"/>
                <w:spacing w:val="-3"/>
                <w:sz w:val="20"/>
                <w:szCs w:val="24"/>
              </w:rPr>
              <w:t>Найменування товару, тип та марка товару</w:t>
            </w:r>
          </w:p>
        </w:tc>
        <w:tc>
          <w:tcPr>
            <w:tcW w:w="851" w:type="dxa"/>
            <w:vAlign w:val="center"/>
          </w:tcPr>
          <w:p w:rsidR="00980304" w:rsidRPr="00BC3821" w:rsidRDefault="00980304" w:rsidP="00C46A3A">
            <w:pPr>
              <w:spacing w:after="0" w:line="240" w:lineRule="auto"/>
              <w:jc w:val="center"/>
              <w:rPr>
                <w:rFonts w:ascii="Times New Roman" w:eastAsia="Times New Roman" w:hAnsi="Times New Roman"/>
                <w:color w:val="000000" w:themeColor="text1"/>
                <w:spacing w:val="-3"/>
                <w:sz w:val="20"/>
                <w:szCs w:val="24"/>
              </w:rPr>
            </w:pPr>
            <w:r w:rsidRPr="00BC3821">
              <w:rPr>
                <w:rFonts w:ascii="Times New Roman" w:eastAsia="Times New Roman" w:hAnsi="Times New Roman"/>
                <w:color w:val="000000" w:themeColor="text1"/>
                <w:spacing w:val="-3"/>
                <w:sz w:val="20"/>
                <w:szCs w:val="24"/>
              </w:rPr>
              <w:t xml:space="preserve">Од. </w:t>
            </w:r>
            <w:proofErr w:type="spellStart"/>
            <w:r w:rsidRPr="00BC3821">
              <w:rPr>
                <w:rFonts w:ascii="Times New Roman" w:eastAsia="Times New Roman" w:hAnsi="Times New Roman"/>
                <w:color w:val="000000" w:themeColor="text1"/>
                <w:spacing w:val="-3"/>
                <w:sz w:val="20"/>
                <w:szCs w:val="24"/>
              </w:rPr>
              <w:t>вим</w:t>
            </w:r>
            <w:proofErr w:type="spellEnd"/>
            <w:r w:rsidRPr="00BC3821">
              <w:rPr>
                <w:rFonts w:ascii="Times New Roman" w:eastAsia="Times New Roman" w:hAnsi="Times New Roman"/>
                <w:color w:val="000000" w:themeColor="text1"/>
                <w:spacing w:val="-3"/>
                <w:sz w:val="20"/>
                <w:szCs w:val="24"/>
              </w:rPr>
              <w:t>.</w:t>
            </w:r>
          </w:p>
        </w:tc>
        <w:tc>
          <w:tcPr>
            <w:tcW w:w="992" w:type="dxa"/>
            <w:shd w:val="clear" w:color="auto" w:fill="auto"/>
            <w:vAlign w:val="center"/>
          </w:tcPr>
          <w:p w:rsidR="00980304" w:rsidRPr="00BC3821" w:rsidRDefault="00980304" w:rsidP="00C46A3A">
            <w:pPr>
              <w:spacing w:after="0" w:line="240" w:lineRule="auto"/>
              <w:jc w:val="center"/>
              <w:rPr>
                <w:rFonts w:ascii="Times New Roman" w:eastAsia="Times New Roman" w:hAnsi="Times New Roman"/>
                <w:color w:val="000000" w:themeColor="text1"/>
                <w:spacing w:val="-3"/>
                <w:sz w:val="20"/>
                <w:szCs w:val="24"/>
              </w:rPr>
            </w:pPr>
            <w:r w:rsidRPr="00BC3821">
              <w:rPr>
                <w:rFonts w:ascii="Times New Roman" w:eastAsia="Times New Roman" w:hAnsi="Times New Roman"/>
                <w:color w:val="000000" w:themeColor="text1"/>
                <w:spacing w:val="-3"/>
                <w:sz w:val="20"/>
                <w:szCs w:val="24"/>
              </w:rPr>
              <w:t>Кількість</w:t>
            </w:r>
          </w:p>
        </w:tc>
        <w:tc>
          <w:tcPr>
            <w:tcW w:w="4956" w:type="dxa"/>
            <w:tcBorders>
              <w:right w:val="single" w:sz="4" w:space="0" w:color="auto"/>
            </w:tcBorders>
            <w:shd w:val="clear" w:color="auto" w:fill="auto"/>
            <w:vAlign w:val="center"/>
          </w:tcPr>
          <w:p w:rsidR="00980304" w:rsidRPr="00BC3821" w:rsidRDefault="00980304" w:rsidP="00C46A3A">
            <w:pPr>
              <w:spacing w:after="0" w:line="240" w:lineRule="auto"/>
              <w:jc w:val="center"/>
              <w:rPr>
                <w:rFonts w:ascii="Times New Roman" w:eastAsia="Times New Roman" w:hAnsi="Times New Roman"/>
                <w:color w:val="000000" w:themeColor="text1"/>
                <w:spacing w:val="-3"/>
                <w:sz w:val="20"/>
                <w:szCs w:val="24"/>
              </w:rPr>
            </w:pPr>
            <w:r w:rsidRPr="00BC3821">
              <w:rPr>
                <w:rFonts w:ascii="Times New Roman" w:eastAsia="Times New Roman" w:hAnsi="Times New Roman"/>
                <w:color w:val="000000" w:themeColor="text1"/>
                <w:spacing w:val="-3"/>
                <w:sz w:val="20"/>
                <w:szCs w:val="24"/>
              </w:rPr>
              <w:t>Технічні характеристики (показники) товару</w:t>
            </w:r>
          </w:p>
        </w:tc>
      </w:tr>
      <w:tr w:rsidR="004C7A9C" w:rsidRPr="00BC3821" w:rsidTr="00E4188B">
        <w:trPr>
          <w:trHeight w:val="517"/>
        </w:trPr>
        <w:tc>
          <w:tcPr>
            <w:tcW w:w="710" w:type="dxa"/>
            <w:shd w:val="clear" w:color="auto" w:fill="auto"/>
          </w:tcPr>
          <w:p w:rsidR="004C7A9C" w:rsidRPr="00BC3821" w:rsidRDefault="004C7A9C" w:rsidP="004C7A9C">
            <w:pPr>
              <w:spacing w:after="0" w:line="240" w:lineRule="auto"/>
              <w:jc w:val="center"/>
              <w:rPr>
                <w:rFonts w:ascii="Times New Roman" w:eastAsia="Times New Roman" w:hAnsi="Times New Roman"/>
                <w:color w:val="000000" w:themeColor="text1"/>
                <w:spacing w:val="-3"/>
                <w:sz w:val="20"/>
                <w:szCs w:val="20"/>
              </w:rPr>
            </w:pPr>
            <w:r w:rsidRPr="00BC3821">
              <w:rPr>
                <w:rFonts w:ascii="Times New Roman" w:hAnsi="Times New Roman"/>
                <w:color w:val="000000" w:themeColor="text1"/>
                <w:sz w:val="20"/>
                <w:szCs w:val="20"/>
              </w:rPr>
              <w:t>1</w:t>
            </w:r>
          </w:p>
        </w:tc>
        <w:tc>
          <w:tcPr>
            <w:tcW w:w="2409" w:type="dxa"/>
            <w:shd w:val="clear" w:color="auto" w:fill="auto"/>
          </w:tcPr>
          <w:p w:rsidR="004C7A9C" w:rsidRPr="002970F0" w:rsidRDefault="004C7A9C" w:rsidP="004C7A9C">
            <w:pPr>
              <w:spacing w:after="0" w:line="240" w:lineRule="auto"/>
              <w:rPr>
                <w:rFonts w:ascii="Times New Roman" w:hAnsi="Times New Roman"/>
                <w:sz w:val="20"/>
                <w:szCs w:val="20"/>
                <w:highlight w:val="yellow"/>
              </w:rPr>
            </w:pPr>
            <w:r w:rsidRPr="00773261">
              <w:rPr>
                <w:rFonts w:ascii="Times New Roman" w:hAnsi="Times New Roman"/>
                <w:sz w:val="20"/>
                <w:szCs w:val="20"/>
              </w:rPr>
              <w:t>Візок для інструментів / пересувний</w:t>
            </w:r>
          </w:p>
        </w:tc>
        <w:tc>
          <w:tcPr>
            <w:tcW w:w="851" w:type="dxa"/>
          </w:tcPr>
          <w:p w:rsidR="004C7A9C" w:rsidRPr="002970F0" w:rsidRDefault="004C7A9C" w:rsidP="004C7A9C">
            <w:pPr>
              <w:spacing w:after="0" w:line="240" w:lineRule="auto"/>
              <w:rPr>
                <w:rFonts w:ascii="Times New Roman" w:hAnsi="Times New Roman"/>
                <w:sz w:val="20"/>
                <w:szCs w:val="20"/>
              </w:rPr>
            </w:pPr>
            <w:r w:rsidRPr="002970F0">
              <w:rPr>
                <w:rFonts w:ascii="Times New Roman" w:hAnsi="Times New Roman"/>
                <w:sz w:val="20"/>
                <w:szCs w:val="20"/>
              </w:rPr>
              <w:t>шт.</w:t>
            </w:r>
          </w:p>
        </w:tc>
        <w:tc>
          <w:tcPr>
            <w:tcW w:w="992" w:type="dxa"/>
            <w:shd w:val="clear" w:color="auto" w:fill="auto"/>
          </w:tcPr>
          <w:p w:rsidR="004C7A9C" w:rsidRPr="002970F0" w:rsidRDefault="004C7A9C" w:rsidP="004C7A9C">
            <w:pPr>
              <w:spacing w:line="240" w:lineRule="auto"/>
              <w:rPr>
                <w:rFonts w:ascii="Times New Roman" w:hAnsi="Times New Roman"/>
                <w:sz w:val="20"/>
                <w:szCs w:val="20"/>
              </w:rPr>
            </w:pPr>
            <w:r>
              <w:rPr>
                <w:rFonts w:ascii="Times New Roman" w:hAnsi="Times New Roman"/>
                <w:sz w:val="20"/>
                <w:szCs w:val="20"/>
              </w:rPr>
              <w:t>8</w:t>
            </w:r>
          </w:p>
        </w:tc>
        <w:tc>
          <w:tcPr>
            <w:tcW w:w="4956" w:type="dxa"/>
            <w:tcBorders>
              <w:right w:val="single" w:sz="4" w:space="0" w:color="auto"/>
            </w:tcBorders>
            <w:shd w:val="clear" w:color="auto" w:fill="auto"/>
          </w:tcPr>
          <w:p w:rsidR="004C7A9C" w:rsidRPr="00597B93" w:rsidRDefault="004C7A9C" w:rsidP="004C7A9C">
            <w:pPr>
              <w:pStyle w:val="a7"/>
              <w:spacing w:before="0" w:beforeAutospacing="0" w:after="0" w:afterAutospacing="0"/>
              <w:rPr>
                <w:rFonts w:eastAsia="Arial"/>
                <w:b/>
                <w:bCs/>
                <w:sz w:val="20"/>
                <w:szCs w:val="20"/>
                <w:lang w:val="uk-UA"/>
              </w:rPr>
            </w:pPr>
            <w:r w:rsidRPr="00597B93">
              <w:rPr>
                <w:rFonts w:eastAsia="Arial"/>
                <w:b/>
                <w:bCs/>
                <w:sz w:val="20"/>
                <w:szCs w:val="20"/>
                <w:lang w:val="uk-UA"/>
              </w:rPr>
              <w:t xml:space="preserve">Основні характеристики: </w:t>
            </w:r>
          </w:p>
          <w:p w:rsidR="004C7A9C" w:rsidRPr="00597B93" w:rsidRDefault="004C7A9C" w:rsidP="004C7A9C">
            <w:pPr>
              <w:spacing w:after="0"/>
              <w:rPr>
                <w:rFonts w:ascii="Times New Roman" w:hAnsi="Times New Roman"/>
                <w:sz w:val="20"/>
                <w:szCs w:val="20"/>
              </w:rPr>
            </w:pPr>
            <w:r w:rsidRPr="00597B93">
              <w:rPr>
                <w:rFonts w:ascii="Times New Roman" w:hAnsi="Times New Roman"/>
                <w:sz w:val="20"/>
                <w:szCs w:val="20"/>
              </w:rPr>
              <w:t>Візок для інструменту з 7 полицями і 1 секцією Розміри: (</w:t>
            </w:r>
            <w:proofErr w:type="spellStart"/>
            <w:r w:rsidRPr="00597B93">
              <w:rPr>
                <w:rFonts w:ascii="Times New Roman" w:hAnsi="Times New Roman"/>
                <w:sz w:val="20"/>
                <w:szCs w:val="20"/>
              </w:rPr>
              <w:t>ВхШхГ</w:t>
            </w:r>
            <w:proofErr w:type="spellEnd"/>
            <w:r w:rsidRPr="00597B93">
              <w:rPr>
                <w:rFonts w:ascii="Times New Roman" w:hAnsi="Times New Roman"/>
                <w:sz w:val="20"/>
                <w:szCs w:val="20"/>
              </w:rPr>
              <w:t>): 960X765X460 •</w:t>
            </w:r>
          </w:p>
          <w:p w:rsidR="004C7A9C" w:rsidRPr="00597B93" w:rsidRDefault="004C7A9C" w:rsidP="004C7A9C">
            <w:pPr>
              <w:spacing w:after="0"/>
              <w:rPr>
                <w:rFonts w:ascii="Times New Roman" w:hAnsi="Times New Roman"/>
                <w:sz w:val="20"/>
                <w:szCs w:val="20"/>
              </w:rPr>
            </w:pPr>
            <w:r w:rsidRPr="00597B93">
              <w:rPr>
                <w:rFonts w:ascii="Times New Roman" w:hAnsi="Times New Roman"/>
                <w:sz w:val="20"/>
                <w:szCs w:val="20"/>
              </w:rPr>
              <w:t xml:space="preserve">Зварний корпус виготовлений з </w:t>
            </w:r>
            <w:proofErr w:type="spellStart"/>
            <w:r w:rsidRPr="00597B93">
              <w:rPr>
                <w:rFonts w:ascii="Times New Roman" w:hAnsi="Times New Roman"/>
                <w:sz w:val="20"/>
                <w:szCs w:val="20"/>
              </w:rPr>
              <w:t>цільнолистового</w:t>
            </w:r>
            <w:proofErr w:type="spellEnd"/>
            <w:r w:rsidRPr="00597B93">
              <w:rPr>
                <w:rFonts w:ascii="Times New Roman" w:hAnsi="Times New Roman"/>
                <w:sz w:val="20"/>
                <w:szCs w:val="20"/>
              </w:rPr>
              <w:t xml:space="preserve"> металу з порошковим покриттям для запобігання корозії. Візок пов</w:t>
            </w:r>
            <w:r w:rsidR="0006052A">
              <w:rPr>
                <w:rFonts w:ascii="Times New Roman" w:hAnsi="Times New Roman"/>
                <w:sz w:val="20"/>
                <w:szCs w:val="20"/>
              </w:rPr>
              <w:t>инен бути оснащений центральни</w:t>
            </w:r>
            <w:r w:rsidRPr="00597B93">
              <w:rPr>
                <w:rFonts w:ascii="Times New Roman" w:hAnsi="Times New Roman"/>
                <w:sz w:val="20"/>
                <w:szCs w:val="20"/>
              </w:rPr>
              <w:t>м замком, для запобігання</w:t>
            </w:r>
            <w:r w:rsidR="0006052A">
              <w:rPr>
                <w:rFonts w:ascii="Times New Roman" w:hAnsi="Times New Roman"/>
                <w:sz w:val="20"/>
                <w:szCs w:val="20"/>
              </w:rPr>
              <w:t xml:space="preserve"> несанкціонованого доступу, а та</w:t>
            </w:r>
            <w:r w:rsidRPr="00597B93">
              <w:rPr>
                <w:rFonts w:ascii="Times New Roman" w:hAnsi="Times New Roman"/>
                <w:sz w:val="20"/>
                <w:szCs w:val="20"/>
              </w:rPr>
              <w:t xml:space="preserve">кож системою захисту від перекидання, для запобігання відкриття декількох полиць одночасно. </w:t>
            </w:r>
          </w:p>
          <w:p w:rsidR="004C7A9C" w:rsidRPr="00597B93" w:rsidRDefault="004C7A9C" w:rsidP="004C7A9C">
            <w:pPr>
              <w:spacing w:after="0"/>
              <w:rPr>
                <w:rFonts w:ascii="Times New Roman" w:hAnsi="Times New Roman"/>
                <w:sz w:val="20"/>
                <w:szCs w:val="20"/>
              </w:rPr>
            </w:pPr>
            <w:r w:rsidRPr="00597B93">
              <w:rPr>
                <w:rFonts w:ascii="Times New Roman" w:hAnsi="Times New Roman"/>
                <w:sz w:val="20"/>
                <w:szCs w:val="20"/>
              </w:rPr>
              <w:t xml:space="preserve"> Полиці з шарикопідшипниковими телескопічними механізмами, 100% відкриття полиць. </w:t>
            </w:r>
          </w:p>
          <w:p w:rsidR="004C7A9C" w:rsidRPr="00597B93" w:rsidRDefault="004C7A9C" w:rsidP="004C7A9C">
            <w:pPr>
              <w:spacing w:after="0"/>
              <w:rPr>
                <w:rFonts w:ascii="Times New Roman" w:hAnsi="Times New Roman"/>
                <w:sz w:val="20"/>
                <w:szCs w:val="20"/>
              </w:rPr>
            </w:pPr>
            <w:proofErr w:type="spellStart"/>
            <w:r w:rsidRPr="00597B93">
              <w:rPr>
                <w:rFonts w:ascii="Times New Roman" w:hAnsi="Times New Roman"/>
                <w:sz w:val="20"/>
                <w:szCs w:val="20"/>
              </w:rPr>
              <w:t>Самоблокуюча</w:t>
            </w:r>
            <w:proofErr w:type="spellEnd"/>
            <w:r w:rsidRPr="00597B93">
              <w:rPr>
                <w:rFonts w:ascii="Times New Roman" w:hAnsi="Times New Roman"/>
                <w:sz w:val="20"/>
                <w:szCs w:val="20"/>
              </w:rPr>
              <w:t xml:space="preserve"> система кожної полиці для запобігання довільного відкриття при переміщенні візка. </w:t>
            </w:r>
          </w:p>
          <w:p w:rsidR="004C7A9C" w:rsidRPr="00597B93" w:rsidRDefault="004C7A9C" w:rsidP="004C7A9C">
            <w:pPr>
              <w:spacing w:after="0"/>
              <w:rPr>
                <w:rFonts w:ascii="Times New Roman" w:hAnsi="Times New Roman"/>
                <w:sz w:val="20"/>
                <w:szCs w:val="20"/>
              </w:rPr>
            </w:pPr>
            <w:r w:rsidRPr="00597B93">
              <w:rPr>
                <w:rFonts w:ascii="Times New Roman" w:hAnsi="Times New Roman"/>
                <w:sz w:val="20"/>
                <w:szCs w:val="20"/>
              </w:rPr>
              <w:t xml:space="preserve">Роликові колеса підвищеної вантажопідйомності </w:t>
            </w:r>
            <w:r w:rsidRPr="00597B93">
              <w:rPr>
                <w:rFonts w:ascii="Cambria Math" w:hAnsi="Cambria Math" w:cs="Cambria Math"/>
                <w:sz w:val="20"/>
                <w:szCs w:val="20"/>
              </w:rPr>
              <w:t>⌀</w:t>
            </w:r>
            <w:r w:rsidRPr="00597B93">
              <w:rPr>
                <w:rFonts w:ascii="Times New Roman" w:hAnsi="Times New Roman"/>
                <w:sz w:val="20"/>
                <w:szCs w:val="20"/>
              </w:rPr>
              <w:t xml:space="preserve"> 125 мм, два з яких поворотні на 360° з гальмом, для більш комфортного переміщення.</w:t>
            </w:r>
          </w:p>
          <w:p w:rsidR="004C7A9C" w:rsidRPr="00773261" w:rsidRDefault="004C7A9C" w:rsidP="004C7A9C">
            <w:pPr>
              <w:pStyle w:val="a7"/>
              <w:spacing w:before="0" w:beforeAutospacing="0" w:after="0" w:afterAutospacing="0"/>
              <w:rPr>
                <w:sz w:val="20"/>
                <w:szCs w:val="20"/>
              </w:rPr>
            </w:pPr>
          </w:p>
        </w:tc>
      </w:tr>
    </w:tbl>
    <w:p w:rsidR="00150045" w:rsidRDefault="00150045">
      <w:pPr>
        <w:spacing w:after="0" w:line="240" w:lineRule="auto"/>
        <w:jc w:val="both"/>
        <w:rPr>
          <w:rFonts w:ascii="Times New Roman" w:eastAsia="Times New Roman" w:hAnsi="Times New Roman"/>
          <w:sz w:val="20"/>
          <w:szCs w:val="20"/>
        </w:rPr>
      </w:pPr>
    </w:p>
    <w:sectPr w:rsidR="00150045" w:rsidSect="006A0C24">
      <w:pgSz w:w="11906" w:h="16838"/>
      <w:pgMar w:top="850" w:right="850" w:bottom="850" w:left="1417"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5F4EC7"/>
    <w:multiLevelType w:val="hybridMultilevel"/>
    <w:tmpl w:val="CEB46656"/>
    <w:lvl w:ilvl="0" w:tplc="06D8F630">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F446638"/>
    <w:multiLevelType w:val="hybridMultilevel"/>
    <w:tmpl w:val="03960CE4"/>
    <w:lvl w:ilvl="0" w:tplc="06D8F630">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50045"/>
    <w:rsid w:val="0006052A"/>
    <w:rsid w:val="000B106C"/>
    <w:rsid w:val="00150045"/>
    <w:rsid w:val="004C7A9C"/>
    <w:rsid w:val="0054175C"/>
    <w:rsid w:val="005E2E13"/>
    <w:rsid w:val="006A0C24"/>
    <w:rsid w:val="00873345"/>
    <w:rsid w:val="00894340"/>
    <w:rsid w:val="00980304"/>
    <w:rsid w:val="00AB3486"/>
    <w:rsid w:val="00C87B30"/>
    <w:rsid w:val="00F076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1A09"/>
    <w:rPr>
      <w:rFonts w:cs="Times New Roman"/>
    </w:rPr>
  </w:style>
  <w:style w:type="paragraph" w:styleId="1">
    <w:name w:val="heading 1"/>
    <w:basedOn w:val="a"/>
    <w:next w:val="a"/>
    <w:rsid w:val="006A0C24"/>
    <w:pPr>
      <w:keepNext/>
      <w:keepLines/>
      <w:spacing w:before="480" w:after="120"/>
      <w:outlineLvl w:val="0"/>
    </w:pPr>
    <w:rPr>
      <w:b/>
      <w:sz w:val="48"/>
      <w:szCs w:val="48"/>
    </w:rPr>
  </w:style>
  <w:style w:type="paragraph" w:styleId="2">
    <w:name w:val="heading 2"/>
    <w:basedOn w:val="a"/>
    <w:next w:val="a"/>
    <w:rsid w:val="006A0C24"/>
    <w:pPr>
      <w:keepNext/>
      <w:keepLines/>
      <w:spacing w:before="360" w:after="80"/>
      <w:outlineLvl w:val="1"/>
    </w:pPr>
    <w:rPr>
      <w:b/>
      <w:sz w:val="36"/>
      <w:szCs w:val="36"/>
    </w:rPr>
  </w:style>
  <w:style w:type="paragraph" w:styleId="3">
    <w:name w:val="heading 3"/>
    <w:basedOn w:val="a"/>
    <w:next w:val="a"/>
    <w:rsid w:val="006A0C24"/>
    <w:pPr>
      <w:keepNext/>
      <w:keepLines/>
      <w:spacing w:before="280" w:after="80"/>
      <w:outlineLvl w:val="2"/>
    </w:pPr>
    <w:rPr>
      <w:b/>
      <w:sz w:val="28"/>
      <w:szCs w:val="28"/>
    </w:rPr>
  </w:style>
  <w:style w:type="paragraph" w:styleId="4">
    <w:name w:val="heading 4"/>
    <w:basedOn w:val="a"/>
    <w:next w:val="a"/>
    <w:rsid w:val="006A0C24"/>
    <w:pPr>
      <w:keepNext/>
      <w:keepLines/>
      <w:spacing w:before="240" w:after="40"/>
      <w:outlineLvl w:val="3"/>
    </w:pPr>
    <w:rPr>
      <w:b/>
      <w:sz w:val="24"/>
      <w:szCs w:val="24"/>
    </w:rPr>
  </w:style>
  <w:style w:type="paragraph" w:styleId="5">
    <w:name w:val="heading 5"/>
    <w:basedOn w:val="a"/>
    <w:next w:val="a"/>
    <w:rsid w:val="006A0C24"/>
    <w:pPr>
      <w:keepNext/>
      <w:keepLines/>
      <w:spacing w:before="220" w:after="40"/>
      <w:outlineLvl w:val="4"/>
    </w:pPr>
    <w:rPr>
      <w:b/>
    </w:rPr>
  </w:style>
  <w:style w:type="paragraph" w:styleId="6">
    <w:name w:val="heading 6"/>
    <w:basedOn w:val="a"/>
    <w:next w:val="a"/>
    <w:rsid w:val="006A0C2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6A0C24"/>
    <w:tblPr>
      <w:tblCellMar>
        <w:top w:w="0" w:type="dxa"/>
        <w:left w:w="0" w:type="dxa"/>
        <w:bottom w:w="0" w:type="dxa"/>
        <w:right w:w="0" w:type="dxa"/>
      </w:tblCellMar>
    </w:tblPr>
  </w:style>
  <w:style w:type="paragraph" w:styleId="a3">
    <w:name w:val="Title"/>
    <w:basedOn w:val="a"/>
    <w:next w:val="a"/>
    <w:rsid w:val="006A0C24"/>
    <w:pPr>
      <w:keepNext/>
      <w:keepLines/>
      <w:spacing w:before="480" w:after="120"/>
    </w:pPr>
    <w:rPr>
      <w:b/>
      <w:sz w:val="72"/>
      <w:szCs w:val="72"/>
    </w:rPr>
  </w:style>
  <w:style w:type="table" w:customStyle="1" w:styleId="TableNormal0">
    <w:name w:val="Table Normal"/>
    <w:rsid w:val="006A0C24"/>
    <w:tblPr>
      <w:tblCellMar>
        <w:top w:w="0" w:type="dxa"/>
        <w:left w:w="0" w:type="dxa"/>
        <w:bottom w:w="0" w:type="dxa"/>
        <w:right w:w="0" w:type="dxa"/>
      </w:tblCellMar>
    </w:tblPr>
  </w:style>
  <w:style w:type="table" w:customStyle="1" w:styleId="TableNormal1">
    <w:name w:val="Table Normal"/>
    <w:rsid w:val="006A0C24"/>
    <w:tblPr>
      <w:tblCellMar>
        <w:top w:w="0" w:type="dxa"/>
        <w:left w:w="0" w:type="dxa"/>
        <w:bottom w:w="0" w:type="dxa"/>
        <w:right w:w="0" w:type="dxa"/>
      </w:tblCellMar>
    </w:tblPr>
  </w:style>
  <w:style w:type="table" w:customStyle="1" w:styleId="TableNormal2">
    <w:name w:val="Table Normal"/>
    <w:rsid w:val="006A0C24"/>
    <w:tblPr>
      <w:tblCellMar>
        <w:top w:w="0" w:type="dxa"/>
        <w:left w:w="0" w:type="dxa"/>
        <w:bottom w:w="0" w:type="dxa"/>
        <w:right w:w="0" w:type="dxa"/>
      </w:tblCellMar>
    </w:tblPr>
  </w:style>
  <w:style w:type="table" w:customStyle="1" w:styleId="TableNormal3">
    <w:name w:val="Table Normal"/>
    <w:rsid w:val="006A0C24"/>
    <w:tblPr>
      <w:tblCellMar>
        <w:top w:w="0" w:type="dxa"/>
        <w:left w:w="0" w:type="dxa"/>
        <w:bottom w:w="0" w:type="dxa"/>
        <w:right w:w="0" w:type="dxa"/>
      </w:tblCellMar>
    </w:tblPr>
  </w:style>
  <w:style w:type="character" w:customStyle="1" w:styleId="rvts0">
    <w:name w:val="rvts0"/>
    <w:basedOn w:val="a0"/>
    <w:rsid w:val="00171A09"/>
  </w:style>
  <w:style w:type="character" w:styleId="a4">
    <w:name w:val="Hyperlink"/>
    <w:uiPriority w:val="99"/>
    <w:semiHidden/>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rPr>
  </w:style>
  <w:style w:type="paragraph" w:customStyle="1" w:styleId="10">
    <w:name w:val="Обычный1"/>
    <w:rsid w:val="00FC558E"/>
    <w:pPr>
      <w:spacing w:after="0"/>
    </w:pPr>
    <w:rPr>
      <w:rFonts w:ascii="Arial" w:eastAsia="Times New Roman" w:hAnsi="Arial" w:cs="Arial"/>
      <w:color w:val="000000"/>
    </w:rPr>
  </w:style>
  <w:style w:type="paragraph" w:styleId="a6">
    <w:name w:val="Subtitle"/>
    <w:basedOn w:val="a"/>
    <w:next w:val="a"/>
    <w:rsid w:val="006A0C24"/>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a7">
    <w:name w:val="Normal (Web)"/>
    <w:basedOn w:val="a"/>
    <w:link w:val="a8"/>
    <w:uiPriority w:val="99"/>
    <w:unhideWhenUsed/>
    <w:rsid w:val="006F45F1"/>
    <w:pPr>
      <w:spacing w:before="100" w:beforeAutospacing="1" w:after="100" w:afterAutospacing="1" w:line="240" w:lineRule="auto"/>
    </w:pPr>
    <w:rPr>
      <w:rFonts w:ascii="Times New Roman" w:eastAsia="Times New Roman" w:hAnsi="Times New Roman"/>
      <w:sz w:val="24"/>
      <w:szCs w:val="24"/>
      <w:lang w:val="ru-RU"/>
    </w:rPr>
  </w:style>
  <w:style w:type="table" w:customStyle="1" w:styleId="a9">
    <w:basedOn w:val="TableNormal3"/>
    <w:rsid w:val="006A0C24"/>
    <w:tblPr>
      <w:tblStyleRowBandSize w:val="1"/>
      <w:tblStyleColBandSize w:val="1"/>
      <w:tblCellMar>
        <w:top w:w="100" w:type="dxa"/>
        <w:left w:w="100" w:type="dxa"/>
        <w:bottom w:w="100" w:type="dxa"/>
        <w:right w:w="100" w:type="dxa"/>
      </w:tblCellMar>
    </w:tblPr>
  </w:style>
  <w:style w:type="table" w:customStyle="1" w:styleId="aa">
    <w:basedOn w:val="TableNormal3"/>
    <w:rsid w:val="006A0C24"/>
    <w:tblPr>
      <w:tblStyleRowBandSize w:val="1"/>
      <w:tblStyleColBandSize w:val="1"/>
      <w:tblCellMar>
        <w:top w:w="15" w:type="dxa"/>
        <w:left w:w="15" w:type="dxa"/>
        <w:bottom w:w="15" w:type="dxa"/>
        <w:right w:w="15" w:type="dxa"/>
      </w:tblCellMar>
    </w:tblPr>
  </w:style>
  <w:style w:type="paragraph" w:customStyle="1" w:styleId="rvps17">
    <w:name w:val="rvps17"/>
    <w:basedOn w:val="a"/>
    <w:rsid w:val="00AB3486"/>
    <w:pPr>
      <w:spacing w:before="100" w:beforeAutospacing="1" w:after="100" w:afterAutospacing="1" w:line="240" w:lineRule="auto"/>
    </w:pPr>
    <w:rPr>
      <w:rFonts w:ascii="Times New Roman" w:eastAsia="Times New Roman" w:hAnsi="Times New Roman"/>
      <w:sz w:val="24"/>
      <w:szCs w:val="24"/>
      <w:lang w:val="ru-RU"/>
    </w:rPr>
  </w:style>
  <w:style w:type="character" w:customStyle="1" w:styleId="rvts23">
    <w:name w:val="rvts23"/>
    <w:basedOn w:val="a0"/>
    <w:rsid w:val="00AB3486"/>
  </w:style>
  <w:style w:type="character" w:customStyle="1" w:styleId="rvts64">
    <w:name w:val="rvts64"/>
    <w:basedOn w:val="a0"/>
    <w:rsid w:val="00AB3486"/>
  </w:style>
  <w:style w:type="paragraph" w:customStyle="1" w:styleId="rvps7">
    <w:name w:val="rvps7"/>
    <w:basedOn w:val="a"/>
    <w:rsid w:val="00AB3486"/>
    <w:pPr>
      <w:spacing w:before="100" w:beforeAutospacing="1" w:after="100" w:afterAutospacing="1" w:line="240" w:lineRule="auto"/>
    </w:pPr>
    <w:rPr>
      <w:rFonts w:ascii="Times New Roman" w:eastAsia="Times New Roman" w:hAnsi="Times New Roman"/>
      <w:sz w:val="24"/>
      <w:szCs w:val="24"/>
      <w:lang w:val="ru-RU"/>
    </w:rPr>
  </w:style>
  <w:style w:type="character" w:customStyle="1" w:styleId="rvts9">
    <w:name w:val="rvts9"/>
    <w:basedOn w:val="a0"/>
    <w:rsid w:val="00AB3486"/>
  </w:style>
  <w:style w:type="paragraph" w:customStyle="1" w:styleId="rvps6">
    <w:name w:val="rvps6"/>
    <w:basedOn w:val="a"/>
    <w:rsid w:val="00AB3486"/>
    <w:pPr>
      <w:spacing w:before="100" w:beforeAutospacing="1" w:after="100" w:afterAutospacing="1" w:line="240" w:lineRule="auto"/>
    </w:pPr>
    <w:rPr>
      <w:rFonts w:ascii="Times New Roman" w:eastAsia="Times New Roman" w:hAnsi="Times New Roman"/>
      <w:sz w:val="24"/>
      <w:szCs w:val="24"/>
      <w:lang w:val="ru-RU"/>
    </w:rPr>
  </w:style>
  <w:style w:type="paragraph" w:styleId="ab">
    <w:name w:val="List Paragraph"/>
    <w:aliases w:val="1 Буллет,Numbered List,Number Bullets,название табл/рис,заголовок 1.1,Chapter10,Список уровня 2,Elenco Normale,----,Bullet Number,Bullet 1,Use Case List Paragraph,lp1,lp11,List Paragraph11,List Paragraph"/>
    <w:basedOn w:val="a"/>
    <w:link w:val="ac"/>
    <w:uiPriority w:val="99"/>
    <w:qFormat/>
    <w:rsid w:val="00980304"/>
    <w:pPr>
      <w:spacing w:after="160" w:line="288" w:lineRule="auto"/>
      <w:ind w:left="720"/>
      <w:contextualSpacing/>
    </w:pPr>
    <w:rPr>
      <w:rFonts w:asciiTheme="minorHAnsi" w:eastAsiaTheme="minorHAnsi" w:hAnsiTheme="minorHAnsi" w:cstheme="minorBidi"/>
      <w:color w:val="5A5A5A" w:themeColor="text1" w:themeTint="A5"/>
      <w:sz w:val="20"/>
      <w:szCs w:val="20"/>
      <w:lang w:val="en-US" w:eastAsia="en-US" w:bidi="en-US"/>
    </w:rPr>
  </w:style>
  <w:style w:type="character" w:styleId="ad">
    <w:name w:val="Strong"/>
    <w:basedOn w:val="a0"/>
    <w:uiPriority w:val="22"/>
    <w:qFormat/>
    <w:rsid w:val="00980304"/>
    <w:rPr>
      <w:rFonts w:cs="Times New Roman"/>
      <w:b/>
      <w:bCs/>
    </w:rPr>
  </w:style>
  <w:style w:type="character" w:customStyle="1" w:styleId="apple-converted-space">
    <w:name w:val="apple-converted-space"/>
    <w:basedOn w:val="a0"/>
    <w:rsid w:val="00980304"/>
  </w:style>
  <w:style w:type="character" w:customStyle="1" w:styleId="a8">
    <w:name w:val="Обычный (веб) Знак"/>
    <w:link w:val="a7"/>
    <w:locked/>
    <w:rsid w:val="00980304"/>
    <w:rPr>
      <w:rFonts w:ascii="Times New Roman" w:eastAsia="Times New Roman" w:hAnsi="Times New Roman" w:cs="Times New Roman"/>
      <w:sz w:val="24"/>
      <w:szCs w:val="24"/>
      <w:lang w:val="ru-RU"/>
    </w:rPr>
  </w:style>
  <w:style w:type="character" w:customStyle="1" w:styleId="ac">
    <w:name w:val="Абзац списка Знак"/>
    <w:aliases w:val="1 Буллет Знак,Numbered List Знак,Number Bullets Знак,название табл/рис Знак,заголовок 1.1 Знак,Chapter10 Знак,Список уровня 2 Знак,Elenco Normale Знак,---- Знак,Bullet Number Знак,Bullet 1 Знак,Use Case List Paragraph Знак,lp1 Знак"/>
    <w:link w:val="ab"/>
    <w:uiPriority w:val="99"/>
    <w:qFormat/>
    <w:rsid w:val="00980304"/>
    <w:rPr>
      <w:rFonts w:asciiTheme="minorHAnsi" w:eastAsiaTheme="minorHAnsi" w:hAnsiTheme="minorHAnsi" w:cstheme="minorBidi"/>
      <w:color w:val="5A5A5A" w:themeColor="text1" w:themeTint="A5"/>
      <w:sz w:val="20"/>
      <w:szCs w:val="20"/>
      <w:lang w:val="en-US" w:eastAsia="en-US" w:bidi="en-US"/>
    </w:rPr>
  </w:style>
  <w:style w:type="paragraph" w:styleId="ae">
    <w:name w:val="Body Text"/>
    <w:basedOn w:val="a"/>
    <w:link w:val="af"/>
    <w:uiPriority w:val="1"/>
    <w:qFormat/>
    <w:rsid w:val="004C7A9C"/>
    <w:pPr>
      <w:widowControl w:val="0"/>
      <w:autoSpaceDE w:val="0"/>
      <w:autoSpaceDN w:val="0"/>
      <w:spacing w:after="0" w:line="240" w:lineRule="auto"/>
      <w:ind w:left="142"/>
      <w:jc w:val="both"/>
    </w:pPr>
    <w:rPr>
      <w:rFonts w:ascii="Times New Roman" w:eastAsia="Times New Roman" w:hAnsi="Times New Roman"/>
      <w:b/>
      <w:bCs/>
      <w:sz w:val="20"/>
      <w:szCs w:val="20"/>
      <w:lang w:eastAsia="en-US"/>
    </w:rPr>
  </w:style>
  <w:style w:type="character" w:customStyle="1" w:styleId="af">
    <w:name w:val="Основной текст Знак"/>
    <w:basedOn w:val="a0"/>
    <w:link w:val="ae"/>
    <w:uiPriority w:val="1"/>
    <w:rsid w:val="004C7A9C"/>
    <w:rPr>
      <w:rFonts w:ascii="Times New Roman" w:eastAsia="Times New Roman" w:hAnsi="Times New Roman" w:cs="Times New Roman"/>
      <w:b/>
      <w:bCs/>
      <w:sz w:val="20"/>
      <w:szCs w:val="20"/>
      <w:lang w:eastAsia="en-US"/>
    </w:rPr>
  </w:style>
</w:styles>
</file>

<file path=word/webSettings.xml><?xml version="1.0" encoding="utf-8"?>
<w:webSettings xmlns:r="http://schemas.openxmlformats.org/officeDocument/2006/relationships" xmlns:w="http://schemas.openxmlformats.org/wordprocessingml/2006/main">
  <w:divs>
    <w:div w:id="389227472">
      <w:bodyDiv w:val="1"/>
      <w:marLeft w:val="0"/>
      <w:marRight w:val="0"/>
      <w:marTop w:val="0"/>
      <w:marBottom w:val="0"/>
      <w:divBdr>
        <w:top w:val="none" w:sz="0" w:space="0" w:color="auto"/>
        <w:left w:val="none" w:sz="0" w:space="0" w:color="auto"/>
        <w:bottom w:val="none" w:sz="0" w:space="0" w:color="auto"/>
        <w:right w:val="none" w:sz="0" w:space="0" w:color="auto"/>
      </w:divBdr>
      <w:divsChild>
        <w:div w:id="2072921277">
          <w:marLeft w:val="0"/>
          <w:marRight w:val="0"/>
          <w:marTop w:val="0"/>
          <w:marBottom w:val="15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yAHjUEQfKL78l/6U4PSpFsesMlg==">CgMxLjAyCGguZ2pkZ3hzMgloLjN6bnlzaDcyDmgudXcwdmQ5YmtiMXJhMg5oLmdjc2ZiYWxvdDJmbzINaC50azdndGVlNm16bTIOaC5xbndtdGZmM2pzdHoyDmguM3hxMThldzRkdmw3Mg5oLnYxcGI3a2JsZXVsMDIOaC5zZmhoYXM0MGI5aDk4AHIhMS1Gb3J4U1dWMHA2dlZPZUVqcU9nNWtxWFBwQXM1ci1u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1666</Words>
  <Characters>9497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beb</cp:lastModifiedBy>
  <cp:revision>5</cp:revision>
  <dcterms:created xsi:type="dcterms:W3CDTF">2025-06-26T07:32:00Z</dcterms:created>
  <dcterms:modified xsi:type="dcterms:W3CDTF">2025-06-26T11:27:00Z</dcterms:modified>
</cp:coreProperties>
</file>